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1a052b0f1dbdae98327bdac8ac35c95728ad4a"/>
    <w:p>
      <w:pPr>
        <w:pStyle w:val="Heading1"/>
      </w:pPr>
      <w:r>
        <w:t xml:space="preserve">Bowen portfolio — policy summary and state of play</w:t>
      </w:r>
    </w:p>
    <w:p>
      <w:pPr>
        <w:pStyle w:val="FirstParagraph"/>
      </w:pPr>
      <w:r>
        <w:t xml:space="preserve">Interview reference sheet for Chris Bowen, 21 April 2026. Pairs with the longer</w:t>
      </w:r>
      <w:r>
        <w:t xml:space="preserve"> </w:t>
      </w:r>
      <w:r>
        <w:rPr>
          <w:rStyle w:val="VerbatimChar"/>
        </w:rPr>
        <w:t xml:space="preserve">bowen_26.md</w:t>
      </w:r>
      <w:r>
        <w:t xml:space="preserve"> </w:t>
      </w:r>
      <w:r>
        <w:t xml:space="preserve">briefing; this document is a compressed at-a-glance for the portfolio under his control. Grouping follows the three policy levers he is most likely to be asked about: transport (the long-tail emissions problem), electricity (his biggest claim to achievement), and the Safeguard Mechanism (the industrial-emissions centrepiece).</w:t>
      </w:r>
    </w:p>
    <w:p>
      <w:pPr>
        <w:pStyle w:val="BodyText"/>
      </w:pPr>
      <w:r>
        <w:t xml:space="preserve">All dollar figures in AUD. Fiscal years are Australian (1 July – 30 June). Current as of 20 April 2026.</w:t>
      </w:r>
    </w:p>
    <w:p>
      <w:r>
        <w:pict>
          <v:rect style="width:0;height:1.5pt" o:hralign="center" o:hrstd="t" o:hr="t"/>
        </w:pict>
      </w:r>
    </w:p>
    <w:bookmarkStart w:id="20" w:name="transport"/>
    <w:p>
      <w:pPr>
        <w:pStyle w:val="Heading2"/>
      </w:pPr>
      <w:r>
        <w:t xml:space="preserve">1. Transport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 &amp; scale</w:t>
            </w:r>
          </w:p>
        </w:tc>
        <w:tc>
          <w:tcPr/>
          <w:p>
            <w:pPr>
              <w:pStyle w:val="Compact"/>
            </w:pPr>
            <w:r>
              <w:t xml:space="preserve">State of play, issues, and Bowen exposure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FBT exemption for electric vehicles</w:t>
            </w:r>
            <w:r>
              <w:t xml:space="preserve"> </w:t>
            </w:r>
            <w:r>
              <w:t xml:space="preserve"> </w:t>
            </w:r>
            <w:r>
              <w:t xml:space="preserve">Treasury Laws Amendment (Electric Car Discount) Act 2022</w:t>
            </w:r>
          </w:p>
        </w:tc>
        <w:tc>
          <w:tcPr/>
          <w:p>
            <w:pPr>
              <w:pStyle w:val="Compact"/>
            </w:pPr>
            <w:r>
              <w:t xml:space="preserve">Revenue forgone ~$1.35 bn in 2025-26; projected</w:t>
            </w:r>
            <w:r>
              <w:t xml:space="preserve"> </w:t>
            </w:r>
            <w:r>
              <w:rPr>
                <w:b/>
                <w:bCs/>
              </w:rPr>
              <w:t xml:space="preserve">$2.8 bn by 2028-29</w:t>
            </w:r>
            <w:r>
              <w:t xml:space="preserve">; cumulative forward-estimates exposure ~</w:t>
            </w:r>
            <w:r>
              <w:rPr>
                <w:b/>
                <w:bCs/>
              </w:rPr>
              <w:t xml:space="preserve">$5.1 bn</w:t>
            </w:r>
            <w:r>
              <w:t xml:space="preserve"> </w:t>
            </w:r>
            <w:r>
              <w:t xml:space="preserve">(≈3× original forecast). ~100,000 vehicles to date. PHEV exemption ended 1 April 2025. Statutory review commissioned Dec 2025, reporting mid-2027.</w:t>
            </w:r>
          </w:p>
        </w:tc>
        <w:tc>
          <w:tcPr/>
          <w:p>
            <w:pPr>
              <w:pStyle w:val="Compact"/>
            </w:pPr>
            <w:r>
              <w:t xml:space="preserve">Structurally regressive: delivered through employer-sponsored novated leases, so the value scales with the employee’s marginal tax rate. A top-bracket ($220k) employee captures ~$14k more benefit than a middle earner ($80k) on the same $50k EV. ~70–80% of beneficiaries sit in the top two income quintiles. Cross-country evidence (OECD, ICCT) shows charging infrastructure is 4–7× more cost-effective per EV than purchase subsidies; Norway/Denmark models work via existing high-vehicle-tax exemptions and supply mandates, not FBT. Australia has no GST exemption (~$4,500 foregone saving per $50k vehicle) and no binding supply mandate. The cost blow-out is what triggered the Dec 2025 review — Treasury is clearly worried.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New Vehicle Efficiency Standard (NVES)</w:t>
            </w:r>
            <w:r>
              <w:t xml:space="preserve"> </w:t>
            </w:r>
            <w:r>
              <w:t xml:space="preserve"> </w:t>
            </w:r>
            <w:r>
              <w:t xml:space="preserve">New Vehicle Efficiency Standard Act 2024</w:t>
            </w:r>
          </w:p>
        </w:tc>
        <w:tc>
          <w:tcPr/>
          <w:p>
            <w:pPr>
              <w:pStyle w:val="Compact"/>
            </w:pPr>
            <w:r>
              <w:t xml:space="preserve">Effective 1 Jan 2025 (reporting), penalties from 1 Jul 2025. 2026 CO₂ targets:</w:t>
            </w:r>
            <w:r>
              <w:t xml:space="preserve"> </w:t>
            </w:r>
            <w:r>
              <w:rPr>
                <w:b/>
                <w:bCs/>
              </w:rPr>
              <w:t xml:space="preserve">117 g/km Type 1 (passenger)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180 g/km Type 2 (utes/vans/large 4WD)</w:t>
            </w:r>
            <w:r>
              <w:t xml:space="preserve">, falling to</w:t>
            </w:r>
            <w:r>
              <w:t xml:space="preserve"> </w:t>
            </w:r>
            <w:r>
              <w:rPr>
                <w:b/>
                <w:bCs/>
              </w:rPr>
              <w:t xml:space="preserve">58 and 110 g/km by 2029</w:t>
            </w:r>
            <w:r>
              <w:t xml:space="preserve">. Penalty $100/unit of exceedance. First-half results:</w:t>
            </w:r>
            <w:r>
              <w:t xml:space="preserve"> </w:t>
            </w:r>
            <w:r>
              <w:rPr>
                <w:b/>
                <w:bCs/>
              </w:rPr>
              <w:t xml:space="preserve">68% of 59 brands beat target</w:t>
            </w:r>
            <w:r>
              <w:t xml:space="preserve">, 17m+ credits generated; Mazda fined $25.4m, Nissan $10.7m, Subaru ~$7m.</w:t>
            </w:r>
          </w:p>
        </w:tc>
        <w:tc>
          <w:tcPr/>
          <w:p>
            <w:pPr>
              <w:pStyle w:val="Compact"/>
            </w:pPr>
            <w:r>
              <w:t xml:space="preserve">Bowen’s strongest transport achievement. Australia went from no fuel-efficiency standard at all to a legislated declining cap in one Parliament — the single most consequential piece of transport policy since the Luxury Car Tax. But the standard was softened significantly between the Feb 2024 consultation paper and the Act: LandCruiser 300, Patrol, Pajero Sport, Everest were reclassified Type 1 → Type 2 under FCAI/Toyota lobbying, and the 2025 starting point was raised. 2029 endpoint (58/110 g/km) lands Australia where the EU was in 2021. The 2026-27 compliance wall is real — tightening bites faster than electric-ute supply grows; BYD Shark 6 PHEV, LDV eT60, Ranger PHEV (2026), Hilux hybrid (2026) are the only serious Type 2 options. The Coalition campaigned to repeal NVES penalties in 2025; Labor kept them. Credit market is trading at ~$50/unit, half the maximum penalty.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Diesel Fuel Tax Credits Scheme (FTCS)</w:t>
            </w:r>
            <w:r>
              <w:t xml:space="preserve"> </w:t>
            </w:r>
            <w:r>
              <w:t xml:space="preserve"> </w:t>
            </w:r>
            <w:r>
              <w:t xml:space="preserve">Fuel Tax Act 2006 (unchanged)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~$10.2 bn revenue forgone in FY2024-25</w:t>
            </w:r>
            <w:r>
              <w:t xml:space="preserve"> </w:t>
            </w:r>
            <w:r>
              <w:t xml:space="preserve">across all sectors.</w:t>
            </w:r>
            <w:r>
              <w:t xml:space="preserve"> </w:t>
            </w:r>
            <w:r>
              <w:rPr>
                <w:b/>
                <w:bCs/>
              </w:rPr>
              <w:t xml:space="preserve">Mining $4.8 bn</w:t>
            </w:r>
            <w:r>
              <w:t xml:space="preserve"> </w:t>
            </w:r>
            <w:r>
              <w:t xml:space="preserve">(coal $1.4 bn, WA iron ore ~$1.5 bn), agriculture $1.3 bn, transport ~$1.0 bn. Off-road rate 48.8 c/L (full excise). Largest single fossil-fuel subsidy in the Commonwealth Budget. Not reformed under Labor.</w:t>
            </w:r>
          </w:p>
        </w:tc>
        <w:tc>
          <w:tcPr/>
          <w:p>
            <w:pPr>
              <w:pStyle w:val="Compact"/>
            </w:pPr>
            <w:r>
              <w:t xml:space="preserve">The elephant in Bowen’s portfolio. Mining diesel consumption is up</w:t>
            </w:r>
            <w:r>
              <w:t xml:space="preserve"> </w:t>
            </w:r>
            <w:r>
              <w:rPr>
                <w:b/>
                <w:bCs/>
              </w:rPr>
              <w:t xml:space="preserve">+41% over the decade</w:t>
            </w:r>
            <w:r>
              <w:t xml:space="preserve"> </w:t>
            </w:r>
            <w:r>
              <w:t xml:space="preserve">(AES Table F: 213 → 300 PJ, 2013-14 → 2023-24). Coal mining specifically +47%, WA iron ore proxy +52%. Coal output is simultaneously</w:t>
            </w:r>
            <w:r>
              <w:t xml:space="preserve"> </w:t>
            </w:r>
            <w:r>
              <w:rPr>
                <w:b/>
                <w:bCs/>
              </w:rPr>
              <w:t xml:space="preserve">flat-to-down</w:t>
            </w:r>
            <w:r>
              <w:t xml:space="preserve"> </w:t>
            </w:r>
            <w:r>
              <w:t xml:space="preserve">(430 → 421 Mt saleable), meaning coal-mining diesel intensity has risen ~50% per tonne — deeper pits, higher strip ratios, and the replacement of electric draglines with diesel haul trucks. At $2/L retail: coal burns ~$18/t gross / $14/t net-of-rebate in diesel (17-20% of FOB cash cost); iron ore ~$6.6/t gross / $5/t net (22-26% of cash cost). The FTCS directly halves the electrification signal. Fortescue’s sub-2-year payback on Liebherr BEV trucks shows how fast the economics flip when the rebate is stripped out. Politically difficult because the</w:t>
            </w:r>
            <w:r>
              <w:t xml:space="preserve"> </w:t>
            </w:r>
            <w:r>
              <w:t xml:space="preserve">“small farmer”</w:t>
            </w:r>
            <w:r>
              <w:t xml:space="preserve"> </w:t>
            </w:r>
            <w:r>
              <w:t xml:space="preserve">framing shields what is structurally a mining-industry transfer: 45% of the scheme goes to mining, only 17% to agriculture. No reform proposed; not in Labor’s platform.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electricity"/>
    <w:p>
      <w:pPr>
        <w:pStyle w:val="Heading2"/>
      </w:pPr>
      <w:r>
        <w:t xml:space="preserve">2. Electricity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 &amp; scale</w:t>
            </w:r>
          </w:p>
        </w:tc>
        <w:tc>
          <w:tcPr/>
          <w:p>
            <w:pPr>
              <w:pStyle w:val="Compact"/>
            </w:pPr>
            <w:r>
              <w:t xml:space="preserve">State of play, issues, and Bowen exposure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Capacity Investment Scheme (CIS)</w:t>
            </w:r>
            <w:r>
              <w:t xml:space="preserve"> </w:t>
            </w:r>
            <w:r>
              <w:t xml:space="preserve"> </w:t>
            </w:r>
            <w:r>
              <w:t xml:space="preserve">Executive scheme, no standalone Act; administered by DCCEEW + ARENA</w:t>
            </w:r>
          </w:p>
        </w:tc>
        <w:tc>
          <w:tcPr/>
          <w:p>
            <w:pPr>
              <w:pStyle w:val="Compact"/>
            </w:pPr>
            <w:r>
              <w:t xml:space="preserve">Target</w:t>
            </w:r>
            <w:r>
              <w:t xml:space="preserve"> </w:t>
            </w:r>
            <w:r>
              <w:rPr>
                <w:b/>
                <w:bCs/>
              </w:rPr>
              <w:t xml:space="preserve">32 GW by 2030</w:t>
            </w:r>
            <w:r>
              <w:t xml:space="preserve"> </w:t>
            </w:r>
            <w:r>
              <w:t xml:space="preserve">(23 GW renewables + 9 GW firming). 5 of 15 tenders complete;</w:t>
            </w:r>
            <w:r>
              <w:t xml:space="preserve"> </w:t>
            </w:r>
            <w:r>
              <w:rPr>
                <w:b/>
                <w:bCs/>
              </w:rPr>
              <w:t xml:space="preserve">&gt;16 GW under contract or in negotiation</w:t>
            </w:r>
            <w:r>
              <w:t xml:space="preserve">; ~11 GW expected to reach financial close by end-2026. Commonwealth-backed revenue collars (CFD floor/ceiling) over 12–15 years. Contingent liability ~$70 bn headline (mostly offsetting against high-price years). Tenders end 2027.</w:t>
            </w:r>
          </w:p>
        </w:tc>
        <w:tc>
          <w:tcPr/>
          <w:p>
            <w:pPr>
              <w:pStyle w:val="Compact"/>
            </w:pPr>
            <w:r>
              <w:t xml:space="preserve">Bowen’s single strongest electricity-sector achievement — the CIS is genuinely moving private capital that IRR-based market signals alone were not unlocking. The revenue-collar design transfers price risk to the Commonwealth while leaving construction and operating risk with developers, which is the right allocation. Criticisms: (a) bespoke per-project contracts have no secondary market, so liquidity is zero; (b) selection is quasi-discretionary despite published scoring; (c) the $70 bn notional is politically exposed — a future Coalition government could compress or suspend auctions without needing to repeal anything. The Nelson Review (below) is designed to replace it with a permanent architecture. 2025 delivered ~7 GW of new large-scale renewables against a ~6 GW/yr requirement; 2026-27 is the critical window. The headline 82% renewable by 2030 target is not legislated, is not on track per the Climate Change Authority (10 GW shortfall), and the IEA projects 58% actual. Eraring extended to 2029, Loy Yang A underwritten to 2035 — both incompatible with 82% unless build rates lift sharply. April 2026 Budget did not fund additional renewables due to Iran/Strait of Hormuz energy-security pivot.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Cheaper Home Batteries Program (CHBP)</w:t>
            </w:r>
            <w:r>
              <w:t xml:space="preserve"> </w:t>
            </w:r>
            <w:r>
              <w:t xml:space="preserve"> </w:t>
            </w:r>
            <w:r>
              <w:t xml:space="preserve">Renewable Energy (Electricity) Act 2000 amendments (2025)</w:t>
            </w:r>
          </w:p>
        </w:tc>
        <w:tc>
          <w:tcPr/>
          <w:p>
            <w:pPr>
              <w:pStyle w:val="Compact"/>
            </w:pPr>
            <w:r>
              <w:t xml:space="preserve">Launched 1 July 2025. Original budget</w:t>
            </w:r>
            <w:r>
              <w:t xml:space="preserve"> </w:t>
            </w:r>
            <w:r>
              <w:rPr>
                <w:b/>
                <w:bCs/>
              </w:rPr>
              <w:t xml:space="preserve">$2.3 bn over 4 years</w:t>
            </w:r>
            <w:r>
              <w:t xml:space="preserve">; expanded to</w:t>
            </w:r>
            <w:r>
              <w:t xml:space="preserve"> </w:t>
            </w:r>
            <w:r>
              <w:rPr>
                <w:b/>
                <w:bCs/>
              </w:rPr>
              <w:t xml:space="preserve">$7.2 bn</w:t>
            </w:r>
            <w:r>
              <w:t xml:space="preserve"> </w:t>
            </w:r>
            <w:r>
              <w:t xml:space="preserve">on 13 Dec 2025 (≈3.1× original). Rebate $372/kWh gross, ~$335/kWh net (~30% of system cost). Eligible 5-100 kWh usable capacity. &gt;160,000 batteries /</w:t>
            </w:r>
            <w:r>
              <w:t xml:space="preserve"> </w:t>
            </w:r>
            <w:r>
              <w:rPr>
                <w:b/>
                <w:bCs/>
              </w:rPr>
              <w:t xml:space="preserve">3.6 GWh</w:t>
            </w:r>
            <w:r>
              <w:t xml:space="preserve"> </w:t>
            </w:r>
            <w:r>
              <w:t xml:space="preserve">installed in the first 5 months. Tiered per-kWh structure from 1 May 2026.</w:t>
            </w:r>
          </w:p>
        </w:tc>
        <w:tc>
          <w:tcPr/>
          <w:p>
            <w:pPr>
              <w:pStyle w:val="Compact"/>
            </w:pPr>
            <w:r>
              <w:t xml:space="preserve">Demand has massively overshot forecasts — a 3× cost blow-out in under six months. That is evidence of either (a) genuine latent demand, or (b) Treasury under-costing the deadweight loss (households who would have installed batteries anyway). Probably some of both. The distributional argument is defensible relative to the FBT EV exemption: CHBP is available regardless of salary-sacrifice status, though still skewed to households that already have rooftop solar. Scale comparison: 4-year CHBP cost ($7.2 bn) ≈</w:t>
            </w:r>
            <w:r>
              <w:t xml:space="preserve"> </w:t>
            </w:r>
            <w:r>
              <w:rPr>
                <w:b/>
                <w:bCs/>
              </w:rPr>
              <w:t xml:space="preserve">1.5 years of the mining-sector diesel rebate</w:t>
            </w:r>
            <w:r>
              <w:t xml:space="preserve"> </w:t>
            </w:r>
            <w:r>
              <w:t xml:space="preserve">($4.8 bn/yr). Distributed battery deployment (3.6 GWh in 5 months) is arriving at roughly the same rate as grid-scale battery commissioning (~6 GWh in all of 2025) — the distributed side is outrunning ISP assumptions. The May 2026 tiered structure is the key tightening: declines every six months (not annually) and per-kWh discount is tapered by battery size. This is Bowen’s most popular program politically, but fiscally the least predictable.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Nelson Review — ESEM</w:t>
            </w:r>
            <w:r>
              <w:t xml:space="preserve"> </w:t>
            </w:r>
            <w:r>
              <w:t xml:space="preserve"> </w:t>
            </w:r>
            <w:r>
              <w:t xml:space="preserve">National Electricity Market Wholesale Market Settings Review, final report 16 Dec 2025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Electricity Services Entry Mechanism</w:t>
            </w:r>
            <w:r>
              <w:t xml:space="preserve">: permanent NEM architecture for standardised fungible derivative contracts across three services (bulk zero-emissions energy, shaping, firming) via centralised reverse auctions. Replaces CIS project-by-project underwriting. In-principle agreement from 7 of 8 jurisdictions (</w:t>
            </w:r>
            <w:r>
              <w:rPr>
                <w:b/>
                <w:bCs/>
              </w:rPr>
              <w:t xml:space="preserve">Queensland opted out</w:t>
            </w:r>
            <w:r>
              <w:t xml:space="preserve">). Pilot late 2026, formal start early 2027, CIS tenders end 2027, legislation targeted end 2026. 11 additional recommendations including Market Making Obligation and CER/price-responsive resource visibility.</w:t>
            </w:r>
          </w:p>
        </w:tc>
        <w:tc>
          <w:tcPr/>
          <w:p>
            <w:pPr>
              <w:pStyle w:val="Compact"/>
            </w:pPr>
            <w:r>
              <w:t xml:space="preserve">The substantive architecture Bowen has commissioned for post-CIS investment signal continuity. Technically well-designed: ESEM addresses the</w:t>
            </w:r>
            <w:r>
              <w:t xml:space="preserve"> </w:t>
            </w:r>
            <w:r>
              <w:t xml:space="preserve">“tenor gap”</w:t>
            </w:r>
            <w:r>
              <w:t xml:space="preserve"> </w:t>
            </w:r>
            <w:r>
              <w:t xml:space="preserve">(projects need 15+ year certainty; PPA liquidity stops at ~3-5 years) by letting the ESEM Administrator underwrite long-tenor hedges that trade in a secondary market. Shift is from</w:t>
            </w:r>
            <w:r>
              <w:t xml:space="preserve"> </w:t>
            </w:r>
            <w:r>
              <w:t xml:space="preserve">“government as counterparty”</w:t>
            </w:r>
            <w:r>
              <w:t xml:space="preserve"> </w:t>
            </w:r>
            <w:r>
              <w:t xml:space="preserve">(CIS) to</w:t>
            </w:r>
            <w:r>
              <w:t xml:space="preserve"> </w:t>
            </w:r>
            <w:r>
              <w:t xml:space="preserve">“government as market designer”</w:t>
            </w:r>
            <w:r>
              <w:t xml:space="preserve"> </w:t>
            </w:r>
            <w:r>
              <w:t xml:space="preserve">(ESEM). Implementation risk is the entire story: (a) standardised-vs-bespoke contract design is being fought now, industry will push for project-specific tailoring that collapses ESEM back into CIS-with-extra-steps; (b) firming definition (dispatch continuously until CPT at MPC) favours long-duration storage AND gas peakers — potentially underwrites new gas generation; (c) Queensland dissent is a wedge — state has its own GOCs (CleanCo, Stanwell, CS Energy) and QREZs that duplicate ESEM functions; (d) 12-month legislative window is ambitious for National Electricity Law amendments across all participating states. Draft ESEM rules expected mid-2026; that’s when the battle actually happens.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1"/>
    <w:bookmarkStart w:id="22" w:name="safeguard-mechanism"/>
    <w:p>
      <w:pPr>
        <w:pStyle w:val="Heading2"/>
      </w:pPr>
      <w:r>
        <w:t xml:space="preserve">3. Safeguard Mechanism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 &amp; scale</w:t>
            </w:r>
          </w:p>
        </w:tc>
        <w:tc>
          <w:tcPr/>
          <w:p>
            <w:pPr>
              <w:pStyle w:val="Compact"/>
            </w:pPr>
            <w:r>
              <w:t xml:space="preserve">State of play, issues, and Bowen exposure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Safeguard Mechanism</w:t>
            </w:r>
            <w:r>
              <w:t xml:space="preserve"> </w:t>
            </w:r>
            <w:r>
              <w:t xml:space="preserve"> </w:t>
            </w:r>
            <w:r>
              <w:t xml:space="preserve">National Greenhouse and Energy Reporting Act 2007 (reformed July 2023)</w:t>
            </w:r>
          </w:p>
        </w:tc>
        <w:tc>
          <w:tcPr/>
          <w:p>
            <w:pPr>
              <w:pStyle w:val="Compact"/>
            </w:pPr>
            <w:r>
              <w:t xml:space="preserve">Covers</w:t>
            </w:r>
            <w:r>
              <w:t xml:space="preserve"> </w:t>
            </w:r>
            <w:r>
              <w:rPr>
                <w:b/>
                <w:bCs/>
              </w:rPr>
              <w:t xml:space="preserve">~215 facilities</w:t>
            </w:r>
            <w:r>
              <w:t xml:space="preserve"> </w:t>
            </w:r>
            <w:r>
              <w:t xml:space="preserve">emitting &gt;100,000 t CO₂-e/yr = 28% of national emissions. Baselines decline</w:t>
            </w:r>
            <w:r>
              <w:t xml:space="preserve"> </w:t>
            </w:r>
            <w:r>
              <w:rPr>
                <w:b/>
                <w:bCs/>
              </w:rPr>
              <w:t xml:space="preserve">4.9%/yr</w:t>
            </w:r>
            <w:r>
              <w:t xml:space="preserve"> </w:t>
            </w:r>
            <w:r>
              <w:t xml:space="preserve">to 2030. Post-2030 indicative rate</w:t>
            </w:r>
            <w:r>
              <w:t xml:space="preserve"> </w:t>
            </w:r>
            <w:r>
              <w:rPr>
                <w:b/>
                <w:bCs/>
              </w:rPr>
              <w:t xml:space="preserve">3.285%/yr</w:t>
            </w:r>
            <w:r>
              <w:t xml:space="preserve">. Compliance via on-site abatement, SMCs, or ACCU surrender. Statutory review 2026-27.</w:t>
            </w:r>
          </w:p>
        </w:tc>
        <w:tc>
          <w:tcPr/>
          <w:p>
            <w:pPr>
              <w:pStyle w:val="Compact"/>
            </w:pPr>
            <w:r>
              <w:t xml:space="preserve">The Safeguard Mechanism is where the 62-70% 2035 NDC either gets delivered or it doesn’t, and the scorecard so far is poor. Covered emissions fell only</w:t>
            </w:r>
            <w:r>
              <w:t xml:space="preserve"> </w:t>
            </w:r>
            <w:r>
              <w:rPr>
                <w:b/>
                <w:bCs/>
              </w:rPr>
              <w:t xml:space="preserve">4.3% over two years</w:t>
            </w:r>
            <w:r>
              <w:t xml:space="preserve"> </w:t>
            </w:r>
            <w:r>
              <w:t xml:space="preserve">(139 → 133 Mt) against baselines that declined 7.3% in FY2024-25 alone. Exceedance volumes surged 52% (9.2 → 14 Mt). 143 facilities in exceedance by FY2024-25. ACCU surrender jumped</w:t>
            </w:r>
            <w:r>
              <w:t xml:space="preserve"> </w:t>
            </w:r>
            <w:r>
              <w:rPr>
                <w:b/>
                <w:bCs/>
              </w:rPr>
              <w:t xml:space="preserve">six-fold</w:t>
            </w:r>
            <w:r>
              <w:t xml:space="preserve"> </w:t>
            </w:r>
            <w:r>
              <w:t xml:space="preserve">post-reform (1.2 → 7.1 million) — compliance is happening via offsets, not real abatement, and integrity evidence says ~three-quarters of the 137m ACCUs ever issued come from three questionable project types.</w:t>
            </w:r>
            <w:r>
              <w:t xml:space="preserve"> </w:t>
            </w:r>
            <w:r>
              <w:rPr>
                <w:b/>
                <w:bCs/>
              </w:rPr>
              <w:t xml:space="preserve">Fossil-fuel facilities earned 74% of Safeguard Mechanism Credits issued in FY2023-24 despite being 54% of covered emissions.</w:t>
            </w:r>
            <w:r>
              <w:t xml:space="preserve"> </w:t>
            </w:r>
            <w:r>
              <w:t xml:space="preserve">The scheme is, on current data, a net income transfer to emitters. Pluto, Barossa, and Browse will account for ~69% of emissions from new Safeguard facilities to 2030 under generous new-entrant treatment. Post-2030 decline rate of 3.285% is insufficient for 62% NDC (needs ≥4.82%/yr, upper bound 6.85%) — the gap is ~50% below what’s required. The 2026-27 review is the moment for Bowen to tighten ACCU provisions, raise the post-2030 decline rate, and tighten TEBA (trade-exposed baseline-adjusted) carve-outs. If that review fails to close the gap, the 2035 NDC is not meetable.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23" w:name="cross-cutting-dollars-and-scale"/>
    <w:p>
      <w:pPr>
        <w:pStyle w:val="Heading2"/>
      </w:pPr>
      <w:r>
        <w:t xml:space="preserve">Cross-cutting: dollars and scale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Annual cost or scale</w:t>
            </w:r>
          </w:p>
        </w:tc>
        <w:tc>
          <w:tcPr/>
          <w:p>
            <w:pPr>
              <w:pStyle w:val="Compact"/>
            </w:pPr>
            <w:r>
              <w:t xml:space="preserve">Category</w:t>
            </w:r>
          </w:p>
        </w:tc>
      </w:tr>
      <w:tr>
        <w:tc>
          <w:tcPr/>
          <w:p>
            <w:pPr>
              <w:pStyle w:val="Compact"/>
            </w:pPr>
            <w:r>
              <w:t xml:space="preserve">Fuel Tax Credits — all sectors</w:t>
            </w:r>
          </w:p>
        </w:tc>
        <w:tc>
          <w:tcPr/>
          <w:p>
            <w:pPr>
              <w:pStyle w:val="Compact"/>
            </w:pPr>
            <w:r>
              <w:t xml:space="preserve">$10.2 bn/yr</w:t>
            </w:r>
          </w:p>
        </w:tc>
        <w:tc>
          <w:tcPr/>
          <w:p>
            <w:pPr>
              <w:pStyle w:val="Compact"/>
            </w:pPr>
            <w:r>
              <w:t xml:space="preserve">Fossil-fuel tax expenditure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Fuel Tax Credits — mining</w:t>
            </w:r>
          </w:p>
        </w:tc>
        <w:tc>
          <w:tcPr/>
          <w:p>
            <w:pPr>
              <w:pStyle w:val="Compact"/>
            </w:pPr>
            <w:r>
              <w:t xml:space="preserve">$4.8 bn/yr</w:t>
            </w:r>
          </w:p>
        </w:tc>
        <w:tc>
          <w:tcPr/>
          <w:p>
            <w:pPr>
              <w:pStyle w:val="Compact"/>
            </w:pPr>
            <w:r>
              <w:t xml:space="preserve">Fossil-fuel tax expenditure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FBT EV exemption</w:t>
            </w:r>
          </w:p>
        </w:tc>
        <w:tc>
          <w:tcPr/>
          <w:p>
            <w:pPr>
              <w:pStyle w:val="Compact"/>
            </w:pPr>
            <w:r>
              <w:t xml:space="preserve">~$1.35 bn/yr → $2.8 bn/yr by 2028-29</w:t>
            </w:r>
          </w:p>
        </w:tc>
        <w:tc>
          <w:tcPr/>
          <w:p>
            <w:pPr>
              <w:pStyle w:val="Compact"/>
            </w:pPr>
            <w:r>
              <w:t xml:space="preserve">Clean-energy tax expenditure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CHBP</w:t>
            </w:r>
          </w:p>
        </w:tc>
        <w:tc>
          <w:tcPr/>
          <w:p>
            <w:pPr>
              <w:pStyle w:val="Compact"/>
            </w:pPr>
            <w:r>
              <w:t xml:space="preserve">~$1.8 bn/yr (4-yr avg of $7.2 bn)</w:t>
            </w:r>
          </w:p>
        </w:tc>
        <w:tc>
          <w:tcPr/>
          <w:p>
            <w:pPr>
              <w:pStyle w:val="Compact"/>
            </w:pPr>
            <w:r>
              <w:t xml:space="preserve">Clean-energy direct subsidy</w:t>
            </w:r>
          </w:p>
        </w:tc>
      </w:tr>
      <w:tr>
        <w:tc>
          <w:tcPr/>
          <w:p>
            <w:pPr>
              <w:pStyle w:val="Compact"/>
            </w:pPr>
            <w:r>
              <w:t xml:space="preserve">CIS</w:t>
            </w:r>
          </w:p>
        </w:tc>
        <w:tc>
          <w:tcPr/>
          <w:p>
            <w:pPr>
              <w:pStyle w:val="Compact"/>
            </w:pPr>
            <w:r>
              <w:t xml:space="preserve">~$14 bn/yr notional (headline $70 bn over 5 yrs)</w:t>
            </w:r>
          </w:p>
        </w:tc>
        <w:tc>
          <w:tcPr/>
          <w:p>
            <w:pPr>
              <w:pStyle w:val="Compact"/>
            </w:pPr>
            <w:r>
              <w:t xml:space="preserve">Revenue-collar contingent liability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NVES penalties collected (year 1, provisional)</w:t>
            </w:r>
          </w:p>
        </w:tc>
        <w:tc>
          <w:tcPr/>
          <w:p>
            <w:pPr>
              <w:pStyle w:val="Compact"/>
            </w:pPr>
            <w:r>
              <w:t xml:space="preserve">~$45 m</w:t>
            </w:r>
          </w:p>
        </w:tc>
        <w:tc>
          <w:tcPr/>
          <w:p>
            <w:pPr>
              <w:pStyle w:val="Compact"/>
            </w:pPr>
            <w:r>
              <w:t xml:space="preserve">Regulatory penalty</w:t>
            </w:r>
          </w:p>
        </w:tc>
      </w:tr>
    </w:tbl>
    <w:p>
      <w:pPr>
        <w:pStyle w:val="BodyText"/>
      </w:pPr>
      <w:r>
        <w:t xml:space="preserve">The asymmetry is stark: the single largest line is the diesel rebate, flowing to an industry whose consumption has risen 41% in a decade and whose emissions are rising. All of Bowen’s clean-energy programs combined (FBT + CHBP + CIS annualised ≈ $17 bn/yr) transfer money in the right direction — but the $4.8 bn/yr mining FTC is a structural drag that sits entirely outside his portfolio reform ambition.</w:t>
      </w:r>
    </w:p>
    <w:p>
      <w:r>
        <w:pict>
          <v:rect style="width:0;height:1.5pt" o:hralign="center" o:hrstd="t" o:hr="t"/>
        </w:pict>
      </w:r>
    </w:p>
    <w:bookmarkEnd w:id="23"/>
    <w:bookmarkStart w:id="24" w:name="one-paragraph-framing"/>
    <w:p>
      <w:pPr>
        <w:pStyle w:val="Heading2"/>
      </w:pPr>
      <w:r>
        <w:t xml:space="preserve">One-paragraph framing</w:t>
      </w:r>
    </w:p>
    <w:p>
      <w:pPr>
        <w:pStyle w:val="FirstParagraph"/>
      </w:pPr>
      <w:r>
        <w:t xml:space="preserve">Bowen has genuine, durable achievements: NVES is the first fuel-efficiency standard in Australian history; the Capacity Investment Scheme has unlocked ~16 GW of contracted renewables; the Nelson Review provides a credible post-2030 market architecture; the Cheaper Home Batteries Program is deploying distributed storage faster than the ISP modelled. Direction is right, execution is real. The analytical critique is not direction but proportionality: the policy mix is concentrated on consumer-facing clean-energy subsidies (FBT, CHBP) while leaving the largest, fastest-growing fossil-fuel subsidy (diesel FTCS to mining) untouched, and the industrial emissions lever (Safeguard Mechanism) is delivering compliance-via-offsets rather than real abatement. The 2035 NDC of 62-70% cannot be met without (a) a tighter Safeguard decline rate post-2030, (b) reform of the diesel rebate for at least the largest mining claimants, and (c) the ESEM actually working as designed rather than collapsing into CIS-with-extra-steps. The interview should focus on the second-order consistency of the architecture rather than whether direction is correct — Bowen will defend direction comfortably, but the portfolio sums to less than the sum of its parts.</w:t>
      </w:r>
    </w:p>
    <w:p>
      <w:pPr>
        <w:pStyle w:val="BodyText"/>
      </w:pPr>
      <w:r>
        <w:t xml:space="preserve">Headline numbers:</w:t>
      </w:r>
    </w:p>
    <w:p>
      <w:pPr>
        <w:pStyle w:val="BodyText"/>
      </w:pPr>
      <w:r>
        <w:t xml:space="preserve">┌───────────────────┬──────────────────────────────────────┬────────────────────────┐</w:t>
      </w:r>
      <w:r>
        <w:t xml:space="preserve"> </w:t>
      </w:r>
      <w:r>
        <w:t xml:space="preserve">│ Metric │ Latest (April 2026) │ As of early March 2026 │</w:t>
      </w:r>
      <w:r>
        <w:t xml:space="preserve"> </w:t>
      </w:r>
      <w:r>
        <w:t xml:space="preserve">├───────────────────┼──────────────────────────────────────┼────────────────────────┤</w:t>
      </w:r>
      <w:r>
        <w:t xml:space="preserve"> </w:t>
      </w:r>
      <w:r>
        <w:t xml:space="preserve">│ Systems installed │ &gt;250,000 │ 254,800 │</w:t>
      </w:r>
      <w:r>
        <w:t xml:space="preserve"> </w:t>
      </w:r>
      <w:r>
        <w:t xml:space="preserve">├───────────────────┼──────────────────────────────────────┼────────────────────────┤</w:t>
      </w:r>
      <w:r>
        <w:t xml:space="preserve"> </w:t>
      </w:r>
      <w:r>
        <w:t xml:space="preserve">│ Storage capacity │ 7.7 GWh │ 6.3 GWh │</w:t>
      </w:r>
      <w:r>
        <w:t xml:space="preserve"> </w:t>
      </w:r>
      <w:r>
        <w:t xml:space="preserve">├───────────────────┼──────────────────────────────────────┼────────────────────────┤</w:t>
      </w:r>
      <w:r>
        <w:t xml:space="preserve"> </w:t>
      </w:r>
      <w:r>
        <w:t xml:space="preserve">│ Install rate │ ~1,500/day (vs ~200/day pre-program) │ same │</w:t>
      </w:r>
      <w:r>
        <w:t xml:space="preserve"> </w:t>
      </w:r>
      <w:r>
        <w:t xml:space="preserve">└───────────────────┴──────────────────────────────────────┴────────────────────────┘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2026-04-20T21:18:32Z</dcterms:created>
  <dcterms:modified xsi:type="dcterms:W3CDTF">2026-04-20T21:18:32Z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sl">
    <vt:lpwstr>../apa.csl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bl-cap-location">
    <vt:lpwstr>bottom</vt:lpwstr>
  </property>
  <property fmtid="{D5CDD505-2E9C-101B-9397-08002B2CF9AE}" pid="10" name="toc-title">
    <vt:lpwstr>Table of contents</vt:lpwstr>
  </property>
</Properties>
</file>