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 the four banks valued SpaceX’s AI business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2026-07-19</w:t>
      </w:r>
    </w:p>
    <w:p>
      <w:pPr>
        <w:pStyle w:val="FirstParagraph"/>
      </w:pPr>
      <w:r>
        <w:t xml:space="preserve">Reference note, July 2026. Companion to the main orbital data-centres note; this records the starting point — what each initiating bank actually did — so the back-out analysis can be followed. Banks are anonymised as A–D, consistent with the charts. All four reports were published on 7 July 2026.</w:t>
      </w:r>
    </w:p>
    <w:p>
      <w:pPr>
        <w:pStyle w:val="BodyText"/>
      </w:pPr>
      <w:r>
        <w:rPr>
          <w:b/>
          <w:bCs/>
        </w:rPr>
        <w:t xml:space="preserve">Table: the four approaches at a glance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Bank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Bank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Bank 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Bank 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Price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segment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~$1.7tn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~$2.28tn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~$2.37tn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separated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share of company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~77%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Profit year used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2028 forecast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2029 forecast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2028 forecast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2027 and 2030 forecasts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Multiple applied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28× EBITDA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28× operating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50× operating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averages of three methods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Where orbital sits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the multiple (</w:t>
            </w:r>
            <w:r>
              <w:t xml:space="preserve">“optionality”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the earnings (~half of 2029 capacity)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the multiple (stated)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Inside an undivided AI segment</w:t>
            </w:r>
          </w:p>
        </w:tc>
      </w:tr>
    </w:tbl>
    <w:p>
      <w:pPr>
        <w:pStyle w:val="BodyText"/>
      </w:pPr>
      <w:r>
        <w:rPr>
          <w:i/>
          <w:iCs/>
        </w:rPr>
        <w:t xml:space="preserve">Source: ITK summary of the four initiation reports, 7 July 2026.</w:t>
      </w:r>
    </w:p>
    <w:bookmarkStart w:id="20" w:name="X28b3dab52419bf98b0bead9fd8846b5a7d4f830"/>
    <w:p>
      <w:pPr>
        <w:pStyle w:val="Heading2"/>
      </w:pPr>
      <w:r>
        <w:t xml:space="preserve">Bank A — a premium multiple justified by orbital</w:t>
      </w:r>
      <w:r>
        <w:t xml:space="preserve"> </w:t>
      </w:r>
      <w:r>
        <w:t xml:space="preserve">“optionality”</w:t>
      </w:r>
    </w:p>
    <w:p>
      <w:pPr>
        <w:pStyle w:val="FirstParagraph"/>
      </w:pPr>
      <w:r>
        <w:t xml:space="preserve">Bank A values SpaceX as three businesses — launch, satellite broadband, and AI — and adds them. The AI segment gets</w:t>
      </w:r>
      <w:r>
        <w:t xml:space="preserve"> </w:t>
      </w:r>
      <w:r>
        <w:rPr>
          <w:b/>
          <w:bCs/>
        </w:rPr>
        <w:t xml:space="preserve">28 times its forecast 2028 EBITDA of about $61bn, giving roughly $1.7tn</w:t>
      </w:r>
      <w:r>
        <w:t xml:space="preserve">, about 63% of the company’s total value.</w:t>
      </w:r>
    </w:p>
    <w:p>
      <w:pPr>
        <w:pStyle w:val="BodyText"/>
      </w:pPr>
      <w:r>
        <w:t xml:space="preserve">Where does 28× come from? The big cloud-computing companies trade at about 11× EBITDA while growing about 23% a year. Bank A argues SpaceX’s AI profits will grow about 60% a year, and scales the multiple up proportionately. The AI</w:t>
      </w:r>
      <w:r>
        <w:t xml:space="preserve"> </w:t>
      </w:r>
      <w:r>
        <w:rPr>
          <w:i/>
          <w:iCs/>
        </w:rPr>
        <w:t xml:space="preserve">earnings</w:t>
      </w:r>
      <w:r>
        <w:t xml:space="preserve"> </w:t>
      </w:r>
      <w:r>
        <w:t xml:space="preserve">in the model are terrestrial — the bank states its base case is</w:t>
      </w:r>
      <w:r>
        <w:t xml:space="preserve"> </w:t>
      </w:r>
      <w:r>
        <w:t xml:space="preserve">“anchored by GW-scale terrestrial footprint”</w:t>
      </w:r>
      <w:r>
        <w:t xml:space="preserve"> </w:t>
      </w:r>
      <w:r>
        <w:t xml:space="preserve">— but the</w:t>
      </w:r>
      <w:r>
        <w:t xml:space="preserve"> </w:t>
      </w:r>
      <w:r>
        <w:rPr>
          <w:i/>
          <w:iCs/>
        </w:rPr>
        <w:t xml:space="preserve">multiple</w:t>
      </w:r>
      <w:r>
        <w:t xml:space="preserve"> </w:t>
      </w:r>
      <w:r>
        <w:t xml:space="preserve">is defended, in the bank’s own words, because the framework</w:t>
      </w:r>
      <w:r>
        <w:t xml:space="preserve"> </w:t>
      </w:r>
      <w:r>
        <w:t xml:space="preserve">“attempts to capture the optionality associated with initiatives such as Orbital AI Compute and Terafab, neither of which are reflected in the business models of traditional hyperscalers.”</w:t>
      </w:r>
    </w:p>
    <w:p>
      <w:pPr>
        <w:pStyle w:val="BodyText"/>
      </w:pPr>
      <w:r>
        <w:t xml:space="preserve">In short: orbital appears nowhere in the numbers and everywhere in the multiple. The growth rate that justifies 28× is itself largely a forecast of orbital scaling after 2028.</w:t>
      </w:r>
    </w:p>
    <w:bookmarkEnd w:id="20"/>
    <w:bookmarkStart w:id="21" w:name="X5e3d814ccdd1f02f8d1fea5635dd5031b033dce"/>
    <w:p>
      <w:pPr>
        <w:pStyle w:val="Heading2"/>
      </w:pPr>
      <w:r>
        <w:t xml:space="preserve">Bank B — orbital capitalised inside the base-case earnings</w:t>
      </w:r>
    </w:p>
    <w:p>
      <w:pPr>
        <w:pStyle w:val="FirstParagraph"/>
      </w:pPr>
      <w:r>
        <w:t xml:space="preserve">Bank B also sums the parts, but anchors on</w:t>
      </w:r>
      <w:r>
        <w:t xml:space="preserve"> </w:t>
      </w:r>
      <w:r>
        <w:rPr>
          <w:b/>
          <w:bCs/>
        </w:rPr>
        <w:t xml:space="preserve">2029</w:t>
      </w:r>
      <w:r>
        <w:t xml:space="preserve"> </w:t>
      </w:r>
      <w:r>
        <w:t xml:space="preserve">forecasts: AI operating income of $81.4bn at 28×, giving</w:t>
      </w:r>
      <w:r>
        <w:t xml:space="preserve"> </w:t>
      </w:r>
      <w:r>
        <w:rPr>
          <w:b/>
          <w:bCs/>
        </w:rPr>
        <w:t xml:space="preserve">~$2.28tn</w:t>
      </w:r>
      <w:r>
        <w:t xml:space="preserve">, about 68% of company value, which is then discounted back two years to produce the $205 target.</w:t>
      </w:r>
    </w:p>
    <w:p>
      <w:pPr>
        <w:pStyle w:val="BodyText"/>
      </w:pPr>
      <w:r>
        <w:t xml:space="preserve">The distinctive feature: Bank B’s 2029 anchor year already contains</w:t>
      </w:r>
      <w:r>
        <w:t xml:space="preserve"> </w:t>
      </w:r>
      <w:r>
        <w:rPr>
          <w:b/>
          <w:bCs/>
        </w:rPr>
        <w:t xml:space="preserve">8.5 GW of orbital computing out of ~17.5 GW total</w:t>
      </w:r>
      <w:r>
        <w:t xml:space="preserve"> </w:t>
      </w:r>
      <w:r>
        <w:t xml:space="preserve">— roughly half the capacity generating the anchor-year profit is satellites that, at publication, had never flown. Orbital is not an option here; it is in the base case, capitalised in the price target. The bank does not split terrestrial from orbital revenue anywhere in the report. Its AI revenue path runs from $15.6bn (2026) to $589bn (2031), roughly doubling every year.</w:t>
      </w:r>
    </w:p>
    <w:bookmarkEnd w:id="21"/>
    <w:bookmarkStart w:id="22" w:name="X76bad707fd07cdd5a076f6d26619d858f0a3f1a"/>
    <w:p>
      <w:pPr>
        <w:pStyle w:val="Heading2"/>
      </w:pPr>
      <w:r>
        <w:t xml:space="preserve">Bank C — orbital excluded from the target, priced in the multiple anyway</w:t>
      </w:r>
    </w:p>
    <w:p>
      <w:pPr>
        <w:pStyle w:val="FirstParagraph"/>
      </w:pPr>
      <w:r>
        <w:t xml:space="preserve">Bank C’s $225 target is built differently:</w:t>
      </w:r>
      <w:r>
        <w:t xml:space="preserve"> </w:t>
      </w:r>
      <w:r>
        <w:rPr>
          <w:b/>
          <w:bCs/>
        </w:rPr>
        <w:t xml:space="preserve">41 times forecast 2028 earnings per share</w:t>
      </w:r>
      <w:r>
        <w:t xml:space="preserve">, with the 2028 anchor chosen deliberately because orbital is still negligible that year (0.4 GW, internal use only) — so the bank can describe orbital as an unpriced option rather than a forecast.</w:t>
      </w:r>
    </w:p>
    <w:p>
      <w:pPr>
        <w:pStyle w:val="BodyText"/>
      </w:pPr>
      <w:r>
        <w:t xml:space="preserve">But its supporting sum-of-the-parts tells the fuller story: the AI segment at</w:t>
      </w:r>
      <w:r>
        <w:t xml:space="preserve"> </w:t>
      </w:r>
      <w:r>
        <w:rPr>
          <w:b/>
          <w:bCs/>
        </w:rPr>
        <w:t xml:space="preserve">50 times 2028 operating income, ~$2.37tn, 77% of company value</w:t>
      </w:r>
      <w:r>
        <w:t xml:space="preserve"> </w:t>
      </w:r>
      <w:r>
        <w:t xml:space="preserve">— and the bank states directly that the 50× multiple</w:t>
      </w:r>
      <w:r>
        <w:t xml:space="preserve"> </w:t>
      </w:r>
      <w:r>
        <w:t xml:space="preserve">“reflects the long-duration optionality of orbital compute.”</w:t>
      </w:r>
      <w:r>
        <w:t xml:space="preserve"> </w:t>
      </w:r>
      <w:r>
        <w:t xml:space="preserve">Alongside the $225 target it publishes a $436</w:t>
      </w:r>
      <w:r>
        <w:t xml:space="preserve"> </w:t>
      </w:r>
      <w:r>
        <w:t xml:space="preserve">“illustration”</w:t>
      </w:r>
      <w:r>
        <w:t xml:space="preserve"> </w:t>
      </w:r>
      <w:r>
        <w:t xml:space="preserve">(20× forecast 2031 earnings, discounted back), which it describes as the lens that captures orbital. The gap between the two numbers — over $200 per share — is orbital option value, displayed but not formally priced.</w:t>
      </w:r>
    </w:p>
    <w:bookmarkEnd w:id="22"/>
    <w:bookmarkStart w:id="23" w:name="Xd9973e708ed2d85f36f0c0b4c1eddbdd0cccb59"/>
    <w:p>
      <w:pPr>
        <w:pStyle w:val="Heading2"/>
      </w:pPr>
      <w:r>
        <w:t xml:space="preserve">Bank D — three methods averaged, orbital inseparable</w:t>
      </w:r>
    </w:p>
    <w:p>
      <w:pPr>
        <w:pStyle w:val="FirstParagraph"/>
      </w:pPr>
      <w:r>
        <w:t xml:space="preserve">Bank D’s $200 target is the average of three approaches: growth-adjusted multiples on 2027 forecasts ($191), a sum of the parts ($187), and multiples on 2030 forecasts ($222). Its sum of the parts divides AI only into</w:t>
      </w:r>
      <w:r>
        <w:t xml:space="preserve"> </w:t>
      </w:r>
      <w:r>
        <w:t xml:space="preserve">“advertising”</w:t>
      </w:r>
      <w:r>
        <w:t xml:space="preserve"> </w:t>
      </w:r>
      <w:r>
        <w:t xml:space="preserve">and</w:t>
      </w:r>
      <w:r>
        <w:t xml:space="preserve"> </w:t>
      </w:r>
      <w:r>
        <w:t xml:space="preserve">“infrastructure”</w:t>
      </w:r>
      <w:r>
        <w:t xml:space="preserve"> </w:t>
      </w:r>
      <w:r>
        <w:t xml:space="preserve">sub-segments, with orbital folded inside infrastructure and never disaggregated — which is why no terrestrial value can be backed out of Bank D and it is absent from the ITK decomposition charts.</w:t>
      </w:r>
    </w:p>
    <w:p>
      <w:pPr>
        <w:pStyle w:val="BodyText"/>
      </w:pPr>
      <w:r>
        <w:t xml:space="preserve">Bank D is also the most conditional in language, describing orbital economics as</w:t>
      </w:r>
      <w:r>
        <w:t xml:space="preserve"> </w:t>
      </w:r>
      <w:r>
        <w:t xml:space="preserve">“economically fragile once real-world losses materialize”</w:t>
      </w:r>
      <w:r>
        <w:t xml:space="preserve"> </w:t>
      </w:r>
      <w:r>
        <w:t xml:space="preserve">— and the most expansive in aspiration, publishing a long-term illustrative value of</w:t>
      </w:r>
      <w:r>
        <w:t xml:space="preserve"> </w:t>
      </w:r>
      <w:r>
        <w:t xml:space="preserve">“$900+”</w:t>
      </w:r>
      <w:r>
        <w:t xml:space="preserve"> </w:t>
      </w:r>
      <w:r>
        <w:t xml:space="preserve">per share predicated on roughly $1tn of revenue by 2031 if every milestone lands.</w:t>
      </w:r>
    </w:p>
    <w:bookmarkEnd w:id="23"/>
    <w:bookmarkStart w:id="24" w:name="what-the-four-have-in-common"/>
    <w:p>
      <w:pPr>
        <w:pStyle w:val="Heading2"/>
      </w:pPr>
      <w:r>
        <w:t xml:space="preserve">What the four have in common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None publishes a standalone orbital valuation, profit forecast, or per-satellite return model</w:t>
      </w:r>
      <w:r>
        <w:t xml:space="preserve"> </w:t>
      </w:r>
      <w:r>
        <w:t xml:space="preserve">(Bank A partially excepted — it has a one-page unit economics table). Orbital is carried inside an AI segment worth 63–77% of company value.</w:t>
      </w:r>
    </w:p>
    <w:p>
      <w:pPr>
        <w:pStyle w:val="Compact"/>
        <w:numPr>
          <w:ilvl w:val="0"/>
          <w:numId w:val="1001"/>
        </w:numPr>
      </w:pPr>
      <w:r>
        <w:t xml:space="preserve">Across ~390 pages and 21 named analysts, roughly</w:t>
      </w:r>
      <w:r>
        <w:t xml:space="preserve"> </w:t>
      </w:r>
      <w:r>
        <w:rPr>
          <w:b/>
          <w:bCs/>
        </w:rPr>
        <w:t xml:space="preserve">20 pages discuss orbital computing</w:t>
      </w:r>
      <w:r>
        <w:t xml:space="preserve"> </w:t>
      </w:r>
      <w:r>
        <w:t xml:space="preserve">— the business that carries most of each model’s growth beyond 2028.</w:t>
      </w:r>
    </w:p>
    <w:p>
      <w:pPr>
        <w:pStyle w:val="Compact"/>
        <w:numPr>
          <w:ilvl w:val="0"/>
          <w:numId w:val="1001"/>
        </w:numPr>
      </w:pPr>
      <w:r>
        <w:t xml:space="preserve">All four assume orbital capacity, when it arrives, earns</w:t>
      </w:r>
      <w:r>
        <w:t xml:space="preserve"> </w:t>
      </w:r>
      <w:r>
        <w:rPr>
          <w:b/>
          <w:bCs/>
        </w:rPr>
        <w:t xml:space="preserve">$9–15 per watt-year — the same rates as terrestrial data centres</w:t>
      </w:r>
      <w:r>
        <w:t xml:space="preserve"> </w:t>
      </w:r>
      <w:r>
        <w:t xml:space="preserve">— with no discount for slower service, ageing chips, or unrepairable failures.</w:t>
      </w:r>
    </w:p>
    <w:p>
      <w:pPr>
        <w:pStyle w:val="Compact"/>
        <w:numPr>
          <w:ilvl w:val="0"/>
          <w:numId w:val="1001"/>
        </w:numPr>
      </w:pPr>
      <w:r>
        <w:t xml:space="preserve">All four describe essentially the same satellite (SpaceX’s disclosed AI1 design) and the same launch-cost trajectory; the consensus is one company’s guidance restated four ways.</w:t>
      </w:r>
    </w:p>
    <w:bookmarkEnd w:id="24"/>
    <w:bookmarkStart w:id="25" w:name="how-itk-uses-this"/>
    <w:p>
      <w:pPr>
        <w:pStyle w:val="Heading2"/>
      </w:pPr>
      <w:r>
        <w:t xml:space="preserve">How ITK uses this</w:t>
      </w:r>
    </w:p>
    <w:p>
      <w:pPr>
        <w:pStyle w:val="FirstParagraph"/>
      </w:pPr>
      <w:r>
        <w:t xml:space="preserve">The decomposition in the main note reverses each bank’s own construction: where orbital sits in the multiple (Banks A and C), the terrestrial business is re-valued at ordinary comparator multiples and the residual is orbital; where orbital sits in the earnings (Bank B), the earnings are split by capacity share. That produces the implicit orbital value of roughly $1.0–1.4tn per bank, and — after also pricing the data-centre leasing business at listed-comparator (CoreWeave) levels — the residual implied value of the Grok model business. The supporting detail is in</w:t>
      </w:r>
      <w:r>
        <w:t xml:space="preserve"> </w:t>
      </w:r>
      <w:r>
        <w:rPr>
          <w:rStyle w:val="VerbatimChar"/>
        </w:rPr>
        <w:t xml:space="preserve">model_assumptions.md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spacex_2026_revenue.md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Source: ITK research, July 2026, from the four initiation reports of 7 July 2026. Quotations are from the reports; page-level extracts are held in the research file.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four banks valued SpaceX’s AI business</dc:title>
  <dc:creator>David Leitch</dc:creator>
  <cp:keywords/>
  <dcterms:created xsi:type="dcterms:W3CDTF">2026-07-19T00:43:30Z</dcterms:created>
  <dcterms:modified xsi:type="dcterms:W3CDTF">2026-07-19T00:43:30Z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../apa.csl</vt:lpwstr>
  </property>
  <property fmtid="{D5CDD505-2E9C-101B-9397-08002B2CF9AE}" pid="8" name="date">
    <vt:lpwstr>2026-07-19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bl-cap-location">
    <vt:lpwstr>bottom</vt:lpwstr>
  </property>
  <property fmtid="{D5CDD505-2E9C-101B-9397-08002B2CF9AE}" pid="16" name="toc-title">
    <vt:lpwstr>Table of contents</vt:lpwstr>
  </property>
</Properties>
</file>