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6" w:name="chris-bowen-interview-prep-april-2026"/>
    <w:p>
      <w:pPr>
        <w:pStyle w:val="Heading1"/>
      </w:pPr>
      <w:r>
        <w:t xml:space="preserve">Chris Bowen interview prep — April 2026</w:t>
      </w:r>
    </w:p>
    <w:p>
      <w:pPr>
        <w:pStyle w:val="FirstParagraph"/>
      </w:pPr>
      <w:r>
        <w:t xml:space="preserve">Minister for Climate Change and Energy since May 2022. Labor re-elected 2025. Current portfolio priorities: 82% renewable target for 2030, the 2035 NDC (62–70% cut), Safeguard Mechanism operation, EV uptake, and consumer-facing cost-of-living offsets (home batteries).</w:t>
      </w:r>
    </w:p>
    <w:bookmarkStart w:id="21" w:name="achievements-the-governments-case"/>
    <w:p>
      <w:pPr>
        <w:pStyle w:val="Heading2"/>
      </w:pPr>
      <w:r>
        <w:t xml:space="preserve">1. Achievements — the Government’s case</w:t>
      </w:r>
    </w:p>
    <w:p>
      <w:pPr>
        <w:pStyle w:val="Compact"/>
        <w:numPr>
          <w:ilvl w:val="0"/>
          <w:numId w:val="1001"/>
        </w:numPr>
      </w:pPr>
      <w:r>
        <w:rPr>
          <w:b/>
          <w:bCs/>
        </w:rPr>
        <w:t xml:space="preserve">82% by 2030 on track (claimed).</w:t>
      </w:r>
      <w:r>
        <w:t xml:space="preserve"> </w:t>
      </w:r>
      <w:r>
        <w:t xml:space="preserve">Renewables supplied ~50% of NEM generation in Q4 2025; ~7 GW of large-scale capacity added in CY2025; &gt;6 GWh of new grid-scale battery capacity commissioned.</w:t>
      </w:r>
      <w:r>
        <w:t xml:space="preserve"> </w:t>
      </w:r>
      <w:hyperlink r:id="rId20">
        <w:r>
          <w:rPr>
            <w:rStyle w:val="Hyperlink"/>
          </w:rPr>
          <w:t xml:space="preserve">pv-magazine</w:t>
        </w:r>
      </w:hyperlink>
    </w:p>
    <w:p>
      <w:pPr>
        <w:pStyle w:val="Compact"/>
        <w:numPr>
          <w:ilvl w:val="0"/>
          <w:numId w:val="1001"/>
        </w:numPr>
      </w:pPr>
      <w:r>
        <w:rPr>
          <w:b/>
          <w:bCs/>
        </w:rPr>
        <w:t xml:space="preserve">Capacity Investment Scheme delivering.</w:t>
      </w:r>
      <w:r>
        <w:t xml:space="preserve"> </w:t>
      </w:r>
      <w:r>
        <w:t xml:space="preserve">Five of 15 tenders complete, &gt;16 GW under contract or in negotiation, ~11 GW expected to reach financial close by end-2026.</w:t>
      </w:r>
    </w:p>
    <w:p>
      <w:pPr>
        <w:pStyle w:val="Compact"/>
        <w:numPr>
          <w:ilvl w:val="0"/>
          <w:numId w:val="1001"/>
        </w:numPr>
      </w:pPr>
      <w:r>
        <w:rPr>
          <w:b/>
          <w:bCs/>
        </w:rPr>
        <w:t xml:space="preserve">Emissions down.</w:t>
      </w:r>
      <w:r>
        <w:t xml:space="preserve"> </w:t>
      </w:r>
      <w:r>
        <w:t xml:space="preserve">Year-to-June 2025 emissions 437.5 Mt CO₂-e, –2.2% YoY.</w:t>
      </w:r>
    </w:p>
    <w:p>
      <w:pPr>
        <w:pStyle w:val="Compact"/>
        <w:numPr>
          <w:ilvl w:val="0"/>
          <w:numId w:val="1001"/>
        </w:numPr>
      </w:pPr>
      <w:r>
        <w:rPr>
          <w:b/>
          <w:bCs/>
        </w:rPr>
        <w:t xml:space="preserve">Safeguard Mechanism reformed (2023).</w:t>
      </w:r>
      <w:r>
        <w:t xml:space="preserve"> </w:t>
      </w:r>
      <w:r>
        <w:t xml:space="preserve">Baselines now decline 4.9%/yr to 2030; covers ~215 facilities / ~28% of national emissions.</w:t>
      </w:r>
    </w:p>
    <w:p>
      <w:pPr>
        <w:pStyle w:val="Compact"/>
        <w:numPr>
          <w:ilvl w:val="0"/>
          <w:numId w:val="1001"/>
        </w:numPr>
      </w:pPr>
      <w:r>
        <w:rPr>
          <w:b/>
          <w:bCs/>
        </w:rPr>
        <w:t xml:space="preserve">2035 NDC set at 62–70%</w:t>
      </w:r>
      <w:r>
        <w:t xml:space="preserve"> </w:t>
      </w:r>
      <w:r>
        <w:t xml:space="preserve">(September 2025) — first five-yearly update under Paris.</w:t>
      </w:r>
    </w:p>
    <w:p>
      <w:pPr>
        <w:pStyle w:val="Compact"/>
        <w:numPr>
          <w:ilvl w:val="0"/>
          <w:numId w:val="1001"/>
        </w:numPr>
      </w:pPr>
      <w:r>
        <w:rPr>
          <w:b/>
          <w:bCs/>
        </w:rPr>
        <w:t xml:space="preserve">Consumer programs.</w:t>
      </w:r>
      <w:r>
        <w:t xml:space="preserve"> </w:t>
      </w:r>
      <w:r>
        <w:t xml:space="preserve">Cheaper Home Batteries Program from 1 July 2025; FBT exemption for zero-emission vehicles (since 2022).</w:t>
      </w:r>
    </w:p>
    <w:bookmarkEnd w:id="21"/>
    <w:bookmarkStart w:id="28" w:name="analytical-issues-to-press"/>
    <w:p>
      <w:pPr>
        <w:pStyle w:val="Heading2"/>
      </w:pPr>
      <w:r>
        <w:t xml:space="preserve">2. Analytical issues to press</w:t>
      </w:r>
    </w:p>
    <w:bookmarkStart w:id="23" w:name="X7d0474f6158d95b6b332d26fba3176e1ad32827"/>
    <w:p>
      <w:pPr>
        <w:pStyle w:val="Heading3"/>
      </w:pPr>
      <w:r>
        <w:t xml:space="preserve">2a. Safeguard Mechanism — subsidising the problem it claims to solve</w:t>
      </w:r>
    </w:p>
    <w:p>
      <w:pPr>
        <w:pStyle w:val="FirstParagraph"/>
      </w:pPr>
      <w:r>
        <w:t xml:space="preserve">Source:</w:t>
      </w:r>
      <w:r>
        <w:t xml:space="preserve"> </w:t>
      </w:r>
      <w:hyperlink r:id="rId22">
        <w:r>
          <w:rPr>
            <w:rStyle w:val="Hyperlink"/>
          </w:rPr>
          <w:t xml:space="preserve">itkservices3 Safeguard review</w:t>
        </w:r>
      </w:hyperlink>
    </w:p>
    <w:p>
      <w:pPr>
        <w:pStyle w:val="Compact"/>
        <w:numPr>
          <w:ilvl w:val="0"/>
          <w:numId w:val="1002"/>
        </w:numPr>
      </w:pPr>
      <w:r>
        <w:t xml:space="preserve">Covered emissions fell only</w:t>
      </w:r>
      <w:r>
        <w:t xml:space="preserve"> </w:t>
      </w:r>
      <w:r>
        <w:rPr>
          <w:b/>
          <w:bCs/>
        </w:rPr>
        <w:t xml:space="preserve">4.3% over two years (139→133 Mt)</w:t>
      </w:r>
      <w:r>
        <w:t xml:space="preserve"> </w:t>
      </w:r>
      <w:r>
        <w:t xml:space="preserve">vs a baseline decline of</w:t>
      </w:r>
      <w:r>
        <w:t xml:space="preserve"> </w:t>
      </w:r>
      <w:r>
        <w:rPr>
          <w:b/>
          <w:bCs/>
        </w:rPr>
        <w:t xml:space="preserve">7.3% in FY24-25 alone</w:t>
      </w:r>
      <w:r>
        <w:t xml:space="preserve"> </w:t>
      </w:r>
      <w:r>
        <w:t xml:space="preserve">— facilities are not actually decarbonising, they are buying compliance.</w:t>
      </w:r>
    </w:p>
    <w:p>
      <w:pPr>
        <w:pStyle w:val="Compact"/>
        <w:numPr>
          <w:ilvl w:val="0"/>
          <w:numId w:val="1002"/>
        </w:numPr>
      </w:pPr>
      <w:r>
        <w:rPr>
          <w:b/>
          <w:bCs/>
        </w:rPr>
        <w:t xml:space="preserve">ACCU surrender jumped six-fold</w:t>
      </w:r>
      <w:r>
        <w:t xml:space="preserve"> </w:t>
      </w:r>
      <w:r>
        <w:t xml:space="preserve">(1.2 → 7.1 million) post-reform. Integrity evidence suggests ~three-quarters of the 137 M ACCUs ever issued come from three questionable project types.</w:t>
      </w:r>
    </w:p>
    <w:p>
      <w:pPr>
        <w:pStyle w:val="Compact"/>
        <w:numPr>
          <w:ilvl w:val="0"/>
          <w:numId w:val="1002"/>
        </w:numPr>
      </w:pPr>
      <w:r>
        <w:rPr>
          <w:b/>
          <w:bCs/>
        </w:rPr>
        <w:t xml:space="preserve">Fossil-fuel facilities earned 74% of Safeguard Mechanism Credits issued in FY23-24</w:t>
      </w:r>
      <w:r>
        <w:t xml:space="preserve"> </w:t>
      </w:r>
      <w:r>
        <w:t xml:space="preserve">despite being 54% of covered emissions. The scheme is a net income transfer to the emitters.</w:t>
      </w:r>
    </w:p>
    <w:p>
      <w:pPr>
        <w:pStyle w:val="Compact"/>
        <w:numPr>
          <w:ilvl w:val="0"/>
          <w:numId w:val="1002"/>
        </w:numPr>
      </w:pPr>
      <w:r>
        <w:rPr>
          <w:b/>
          <w:bCs/>
        </w:rPr>
        <w:t xml:space="preserve">Pluto, Barossa, Browse</w:t>
      </w:r>
      <w:r>
        <w:t xml:space="preserve"> </w:t>
      </w:r>
      <w:r>
        <w:t xml:space="preserve">(three new LNG projects) will account for ~69% of emissions from new facilities to 2030. Generous new-entrant treatment absorbs the shrinking budget.</w:t>
      </w:r>
    </w:p>
    <w:p>
      <w:pPr>
        <w:pStyle w:val="Compact"/>
        <w:numPr>
          <w:ilvl w:val="0"/>
          <w:numId w:val="1002"/>
        </w:numPr>
      </w:pPr>
      <w:r>
        <w:rPr>
          <w:b/>
          <w:bCs/>
        </w:rPr>
        <w:t xml:space="preserve">Post-2030 decline rate of 3.285%</w:t>
      </w:r>
      <w:r>
        <w:t xml:space="preserve"> </w:t>
      </w:r>
      <w:r>
        <w:t xml:space="preserve">is insufficient for the 2035 NDC. Minimum 62% target requires ~4.82%/yr, the upper bound nearer 6.85%. The gap is about 50% below what the NDC needs.</w:t>
      </w:r>
    </w:p>
    <w:p>
      <w:pPr>
        <w:pStyle w:val="Compact"/>
        <w:numPr>
          <w:ilvl w:val="0"/>
          <w:numId w:val="1002"/>
        </w:numPr>
      </w:pPr>
      <w:r>
        <w:t xml:space="preserve">143 facilities in exceedance by FY24-25; exceedance volumes +52% (9.2 → 14 Mt).</w:t>
      </w:r>
    </w:p>
    <w:p>
      <w:pPr>
        <w:pStyle w:val="FirstParagraph"/>
      </w:pPr>
      <w:r>
        <w:rPr>
          <w:b/>
          <w:bCs/>
        </w:rPr>
        <w:t xml:space="preserve">Question for Bowen:</w:t>
      </w:r>
      <w:r>
        <w:t xml:space="preserve"> </w:t>
      </w:r>
      <w:r>
        <w:t xml:space="preserve">If Safeguard credits disproportionately flow to fossil-fuel emitters, and the decline rate is 50% too slow for the 2035 target you’ve just signed, in what sense is this scheme</w:t>
      </w:r>
      <w:r>
        <w:t xml:space="preserve"> </w:t>
      </w:r>
      <w:r>
        <w:t xml:space="preserve">“on track”</w:t>
      </w:r>
      <w:r>
        <w:t xml:space="preserve">?</w:t>
      </w:r>
    </w:p>
    <w:bookmarkEnd w:id="23"/>
    <w:bookmarkStart w:id="25" w:name="X2e9ed5052ee38f7618d65c06baf17166102e7e4"/>
    <w:p>
      <w:pPr>
        <w:pStyle w:val="Heading3"/>
      </w:pPr>
      <w:r>
        <w:t xml:space="preserve">2b. EV policy — the infrastructure/subsidy mix is the wrong way around</w:t>
      </w:r>
    </w:p>
    <w:p>
      <w:pPr>
        <w:pStyle w:val="FirstParagraph"/>
      </w:pPr>
      <w:r>
        <w:t xml:space="preserve">Source:</w:t>
      </w:r>
      <w:r>
        <w:t xml:space="preserve"> </w:t>
      </w:r>
      <w:hyperlink r:id="rId24">
        <w:r>
          <w:rPr>
            <w:rStyle w:val="Hyperlink"/>
          </w:rPr>
          <w:t xml:space="preserve">itkservices3 EV policy map</w:t>
        </w:r>
      </w:hyperlink>
    </w:p>
    <w:p>
      <w:pPr>
        <w:pStyle w:val="Compact"/>
        <w:numPr>
          <w:ilvl w:val="0"/>
          <w:numId w:val="1003"/>
        </w:numPr>
      </w:pPr>
      <w:r>
        <w:t xml:space="preserve">Australia’s EV share (BEV+PHEV) ~12.6%, behind the EU (~25%) and lagging Asian peers (Thailand 20%, Vietnam ~40%).</w:t>
      </w:r>
    </w:p>
    <w:p>
      <w:pPr>
        <w:pStyle w:val="Compact"/>
        <w:numPr>
          <w:ilvl w:val="0"/>
          <w:numId w:val="1003"/>
        </w:numPr>
      </w:pPr>
      <w:r>
        <w:t xml:space="preserve">Cross-country regressions:</w:t>
      </w:r>
      <w:r>
        <w:t xml:space="preserve"> </w:t>
      </w:r>
      <w:r>
        <w:rPr>
          <w:b/>
          <w:bCs/>
        </w:rPr>
        <w:t xml:space="preserve">charging infrastructure explains ~69% of EV-share variance; purchase subsidies only ~17%.</w:t>
      </w:r>
      <w:r>
        <w:t xml:space="preserve"> </w:t>
      </w:r>
      <w:r>
        <w:t xml:space="preserve">Dollar-for-dollar, infrastructure is 4–7× more cost-effective than consumer subsidies.</w:t>
      </w:r>
    </w:p>
    <w:p>
      <w:pPr>
        <w:pStyle w:val="Compact"/>
        <w:numPr>
          <w:ilvl w:val="0"/>
          <w:numId w:val="1003"/>
        </w:numPr>
      </w:pPr>
      <w:r>
        <w:t xml:space="preserve">Successful economies (Norway, Denmark)</w:t>
      </w:r>
      <w:r>
        <w:t xml:space="preserve"> </w:t>
      </w:r>
      <w:r>
        <w:rPr>
          <w:b/>
          <w:bCs/>
        </w:rPr>
        <w:t xml:space="preserve">exempted EVs from pre-existing high vehicle taxes</w:t>
      </w:r>
      <w:r>
        <w:t xml:space="preserve"> </w:t>
      </w:r>
      <w:r>
        <w:t xml:space="preserve">rather than building new FBT-style carve-outs for employer-leased cars.</w:t>
      </w:r>
    </w:p>
    <w:p>
      <w:pPr>
        <w:pStyle w:val="Compact"/>
        <w:numPr>
          <w:ilvl w:val="0"/>
          <w:numId w:val="1003"/>
        </w:numPr>
      </w:pPr>
      <w:r>
        <w:t xml:space="preserve">Australia’s FBT exemption is</w:t>
      </w:r>
      <w:r>
        <w:t xml:space="preserve"> </w:t>
      </w:r>
      <w:r>
        <w:rPr>
          <w:b/>
          <w:bCs/>
        </w:rPr>
        <w:t xml:space="preserve">available disproportionately to high-income salary-sacrifice employees</w:t>
      </w:r>
      <w:r>
        <w:t xml:space="preserve"> </w:t>
      </w:r>
      <w:r>
        <w:t xml:space="preserve">— a regressive instrument by construction.</w:t>
      </w:r>
    </w:p>
    <w:p>
      <w:pPr>
        <w:pStyle w:val="Compact"/>
        <w:numPr>
          <w:ilvl w:val="0"/>
          <w:numId w:val="1003"/>
        </w:numPr>
      </w:pPr>
      <w:r>
        <w:t xml:space="preserve">No GST exemption (would deliver ~$4,500 on a $50k car, available to everyone).</w:t>
      </w:r>
    </w:p>
    <w:p>
      <w:pPr>
        <w:pStyle w:val="Compact"/>
        <w:numPr>
          <w:ilvl w:val="0"/>
          <w:numId w:val="1003"/>
        </w:numPr>
      </w:pPr>
      <w:r>
        <w:t xml:space="preserve">No binding supply-side mandate (cf. China’s dual-credit system, EU’s CO₂ standards).</w:t>
      </w:r>
    </w:p>
    <w:p>
      <w:pPr>
        <w:pStyle w:val="Compact"/>
        <w:numPr>
          <w:ilvl w:val="0"/>
          <w:numId w:val="1003"/>
        </w:numPr>
      </w:pPr>
      <w:r>
        <w:t xml:space="preserve">No registration discounts; no bus-lane / low-emission-zone access; charging rollout lagging the vehicle rollout.</w:t>
      </w:r>
    </w:p>
    <w:p>
      <w:pPr>
        <w:pStyle w:val="FirstParagraph"/>
      </w:pPr>
      <w:r>
        <w:rPr>
          <w:b/>
          <w:bCs/>
        </w:rPr>
        <w:t xml:space="preserve">Question for Bowen:</w:t>
      </w:r>
      <w:r>
        <w:t xml:space="preserve"> </w:t>
      </w:r>
      <w:r>
        <w:t xml:space="preserve">Given Treasury’s own review is underway and the FBT concession is blowing out by 3–4×, why is the Government spending more than $1 billion a year on the single least cost-effective lever in the international evidence base?</w:t>
      </w:r>
    </w:p>
    <w:bookmarkEnd w:id="25"/>
    <w:bookmarkStart w:id="27" w:name="X9f153370b39e258b5f20a346ad4a0ef0e78105a"/>
    <w:p>
      <w:pPr>
        <w:pStyle w:val="Heading3"/>
      </w:pPr>
      <w:r>
        <w:t xml:space="preserve">2c. The 2035 target — bare minimum, and not credibly underpinned</w:t>
      </w:r>
    </w:p>
    <w:p>
      <w:pPr>
        <w:pStyle w:val="Compact"/>
        <w:numPr>
          <w:ilvl w:val="0"/>
          <w:numId w:val="1004"/>
        </w:numPr>
      </w:pPr>
      <w:r>
        <w:t xml:space="preserve">CCA and Climate Council call 62–70%</w:t>
      </w:r>
      <w:r>
        <w:t xml:space="preserve"> </w:t>
      </w:r>
      <w:r>
        <w:t xml:space="preserve">“the bare minimum”</w:t>
      </w:r>
      <w:r>
        <w:t xml:space="preserve">; 1.5 °C consistency needs ≥75% by 2030 and net zero by 2035 for developed economies.</w:t>
      </w:r>
      <w:r>
        <w:t xml:space="preserve"> </w:t>
      </w:r>
      <w:hyperlink r:id="rId26">
        <w:r>
          <w:rPr>
            <w:rStyle w:val="Hyperlink"/>
          </w:rPr>
          <w:t xml:space="preserve">Climate Council</w:t>
        </w:r>
      </w:hyperlink>
    </w:p>
    <w:p>
      <w:pPr>
        <w:pStyle w:val="Compact"/>
        <w:numPr>
          <w:ilvl w:val="0"/>
          <w:numId w:val="1004"/>
        </w:numPr>
      </w:pPr>
      <w:r>
        <w:t xml:space="preserve">Bowen has declined to adopt the CCA’s recommended 90% renewable share.</w:t>
      </w:r>
    </w:p>
    <w:p>
      <w:pPr>
        <w:pStyle w:val="Compact"/>
        <w:numPr>
          <w:ilvl w:val="0"/>
          <w:numId w:val="1004"/>
        </w:numPr>
      </w:pPr>
      <w:r>
        <w:t xml:space="preserve">Safeguard Mechanism is too slow (above). Transport policy is largely FBT-dependent (below). No meaningful industrial-emissions mandate outside Safeguard. Agriculture and mining diesel untouched.</w:t>
      </w:r>
    </w:p>
    <w:bookmarkEnd w:id="27"/>
    <w:bookmarkEnd w:id="28"/>
    <w:bookmarkStart w:id="43" w:name="the-three-numbers-you-asked-for"/>
    <w:p>
      <w:pPr>
        <w:pStyle w:val="Heading2"/>
      </w:pPr>
      <w:r>
        <w:t xml:space="preserve">3. The three numbers you asked for</w:t>
      </w:r>
    </w:p>
    <w:bookmarkStart w:id="32" w:name="a.-fbt-exemption-for-electric-vehicles"/>
    <w:p>
      <w:pPr>
        <w:pStyle w:val="Heading3"/>
      </w:pPr>
      <w:r>
        <w:t xml:space="preserve">3a. FBT exemption for electric vehicles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Metric</w:t>
            </w:r>
          </w:p>
        </w:tc>
        <w:tc>
          <w:tcPr/>
          <w:p>
            <w:pPr>
              <w:pStyle w:val="Compact"/>
            </w:pPr>
            <w:r>
              <w:t xml:space="preserve">Estimate</w:t>
            </w:r>
          </w:p>
        </w:tc>
      </w:tr>
      <w:tr>
        <w:tc>
          <w:tcPr/>
          <w:p>
            <w:pPr>
              <w:pStyle w:val="Compact"/>
            </w:pPr>
            <w:r>
              <w:t xml:space="preserve">Revenue forgone, 2025-26 (Treasury Tax Expenditure Statement)</w:t>
            </w:r>
          </w:p>
        </w:tc>
        <w:tc>
          <w:tcPr/>
          <w:p>
            <w:pPr>
              <w:pStyle w:val="Compact"/>
            </w:pPr>
            <w:r>
              <w:rPr>
                <w:b/>
                <w:bCs/>
              </w:rPr>
              <w:t xml:space="preserve">~$1.35 bn</w:t>
            </w:r>
          </w:p>
        </w:tc>
      </w:tr>
      <w:tr>
        <w:tc>
          <w:tcPr/>
          <w:p>
            <w:pPr>
              <w:pStyle w:val="Compact"/>
            </w:pPr>
            <w:r>
              <w:t xml:space="preserve">Projected revenue forgone, 2028-29</w:t>
            </w:r>
          </w:p>
        </w:tc>
        <w:tc>
          <w:tcPr/>
          <w:p>
            <w:pPr>
              <w:pStyle w:val="Compact"/>
            </w:pPr>
            <w:r>
              <w:rPr>
                <w:b/>
                <w:bCs/>
              </w:rPr>
              <w:t xml:space="preserve">~$2.8 bn</w:t>
            </w:r>
          </w:p>
        </w:tc>
      </w:tr>
      <w:tr>
        <w:tc>
          <w:tcPr/>
          <w:p>
            <w:pPr>
              <w:pStyle w:val="Compact"/>
            </w:pPr>
            <w:r>
              <w:t xml:space="preserve">Cumulative exposure, forward estimates (updated)</w:t>
            </w:r>
          </w:p>
        </w:tc>
        <w:tc>
          <w:tcPr/>
          <w:p>
            <w:pPr>
              <w:pStyle w:val="Compact"/>
            </w:pPr>
            <w:r>
              <w:rPr>
                <w:b/>
                <w:bCs/>
              </w:rPr>
              <w:t xml:space="preserve">~$5.1 bn</w:t>
            </w:r>
            <w:r>
              <w:t xml:space="preserve"> </w:t>
            </w:r>
            <w:r>
              <w:t xml:space="preserve">(≈3× original forecast)</w:t>
            </w:r>
          </w:p>
        </w:tc>
      </w:tr>
      <w:tr>
        <w:tc>
          <w:tcPr/>
          <w:p>
            <w:pPr>
              <w:pStyle w:val="Compact"/>
            </w:pPr>
            <w:r>
              <w:t xml:space="preserve">Vehicles benefiting to date</w:t>
            </w:r>
          </w:p>
        </w:tc>
        <w:tc>
          <w:tcPr/>
          <w:p>
            <w:pPr>
              <w:pStyle w:val="Compact"/>
            </w:pPr>
            <w:r>
              <w:t xml:space="preserve">~100,000 (milestone reached well ahead of schedule)</w:t>
            </w:r>
          </w:p>
        </w:tc>
      </w:tr>
      <w:tr>
        <w:tc>
          <w:tcPr/>
          <w:p>
            <w:pPr>
              <w:pStyle w:val="Compact"/>
            </w:pPr>
            <w:r>
              <w:t xml:space="preserve">Cost per beneficiary (rough)</w:t>
            </w:r>
          </w:p>
        </w:tc>
        <w:tc>
          <w:tcPr/>
          <w:p>
            <w:pPr>
              <w:pStyle w:val="Compact"/>
            </w:pPr>
            <w:r>
              <w:t xml:space="preserve">~$9,000 per vehicle over a 4-year lease</w:t>
            </w:r>
          </w:p>
        </w:tc>
      </w:tr>
      <w:tr>
        <w:tc>
          <w:tcPr/>
          <w:p>
            <w:pPr>
              <w:pStyle w:val="Compact"/>
            </w:pPr>
            <w:r>
              <w:t xml:space="preserve">PHEVs</w:t>
            </w:r>
          </w:p>
        </w:tc>
        <w:tc>
          <w:tcPr/>
          <w:p>
            <w:pPr>
              <w:pStyle w:val="Compact"/>
            </w:pPr>
            <w:r>
              <w:t xml:space="preserve">exemption ended 1 April 2025</w:t>
            </w:r>
          </w:p>
        </w:tc>
      </w:tr>
      <w:tr>
        <w:tc>
          <w:tcPr/>
          <w:p>
            <w:pPr>
              <w:pStyle w:val="Compact"/>
            </w:pPr>
            <w:r>
              <w:t xml:space="preserve">Review</w:t>
            </w:r>
          </w:p>
        </w:tc>
        <w:tc>
          <w:tcPr/>
          <w:p>
            <w:pPr>
              <w:pStyle w:val="Compact"/>
            </w:pPr>
            <w:r>
              <w:t xml:space="preserve">announced Dec 2025, terms of reference published, final report due</w:t>
            </w:r>
            <w:r>
              <w:t xml:space="preserve"> </w:t>
            </w:r>
            <w:r>
              <w:rPr>
                <w:b/>
                <w:bCs/>
              </w:rPr>
              <w:t xml:space="preserve">mid-2027</w:t>
            </w:r>
          </w:p>
        </w:tc>
      </w:tr>
    </w:tbl>
    <w:p>
      <w:pPr>
        <w:pStyle w:val="BodyText"/>
      </w:pPr>
      <w:r>
        <w:rPr>
          <w:b/>
          <w:bCs/>
        </w:rPr>
        <w:t xml:space="preserve">Key analytical point:</w:t>
      </w:r>
      <w:r>
        <w:t xml:space="preserve"> </w:t>
      </w:r>
      <w:r>
        <w:t xml:space="preserve">the exemption’s cost is scaling with EV uptake, not with consumer need. Because it is delivered through employer-sponsored novated leases, ~70–80% of the benefit accrues to households in the top two income quintiles. Treasury’s own review being commissioned at the same time as the program is surging is itself evidence of fiscal concern.</w:t>
      </w:r>
    </w:p>
    <w:p>
      <w:pPr>
        <w:pStyle w:val="BodyText"/>
      </w:pPr>
      <w:r>
        <w:t xml:space="preserve">Sources:</w:t>
      </w:r>
      <w:r>
        <w:t xml:space="preserve"> </w:t>
      </w:r>
      <w:hyperlink r:id="rId29">
        <w:r>
          <w:rPr>
            <w:rStyle w:val="Hyperlink"/>
          </w:rPr>
          <w:t xml:space="preserve">ATO — Electric cars exemption</w:t>
        </w:r>
      </w:hyperlink>
      <w:r>
        <w:t xml:space="preserve">;</w:t>
      </w:r>
      <w:r>
        <w:t xml:space="preserve"> </w:t>
      </w:r>
      <w:hyperlink r:id="rId30">
        <w:r>
          <w:rPr>
            <w:rStyle w:val="Hyperlink"/>
          </w:rPr>
          <w:t xml:space="preserve">Treasury review terms of reference</w:t>
        </w:r>
      </w:hyperlink>
      <w:r>
        <w:t xml:space="preserve">;</w:t>
      </w:r>
      <w:r>
        <w:t xml:space="preserve"> </w:t>
      </w:r>
      <w:hyperlink r:id="rId31">
        <w:r>
          <w:rPr>
            <w:rStyle w:val="Hyperlink"/>
          </w:rPr>
          <w:t xml:space="preserve">Hudson Financial / IPA summary</w:t>
        </w:r>
      </w:hyperlink>
      <w:r>
        <w:t xml:space="preserve">.</w:t>
      </w:r>
    </w:p>
    <w:bookmarkEnd w:id="32"/>
    <w:bookmarkStart w:id="37" w:name="Xfb30a8dec826f1be611dd60cec1d4cb0b362121"/>
    <w:p>
      <w:pPr>
        <w:pStyle w:val="Heading3"/>
      </w:pPr>
      <w:r>
        <w:t xml:space="preserve">3b. Diesel fuel tax credit (Fuel Tax Credits Scheme)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Metric</w:t>
            </w:r>
          </w:p>
        </w:tc>
        <w:tc>
          <w:tcPr/>
          <w:p>
            <w:pPr>
              <w:pStyle w:val="Compact"/>
            </w:pPr>
            <w:r>
              <w:t xml:space="preserve">Estimate</w:t>
            </w:r>
          </w:p>
        </w:tc>
      </w:tr>
      <w:tr>
        <w:tc>
          <w:tcPr/>
          <w:p>
            <w:pPr>
              <w:pStyle w:val="Compact"/>
            </w:pPr>
            <w:r>
              <w:t xml:space="preserve">Total revenue forgone,</w:t>
            </w:r>
            <w:r>
              <w:t xml:space="preserve"> </w:t>
            </w:r>
            <w:r>
              <w:rPr>
                <w:b/>
                <w:bCs/>
              </w:rPr>
              <w:t xml:space="preserve">FY 2024-25</w:t>
            </w:r>
          </w:p>
        </w:tc>
        <w:tc>
          <w:tcPr/>
          <w:p>
            <w:pPr>
              <w:pStyle w:val="Compact"/>
            </w:pPr>
            <w:r>
              <w:rPr>
                <w:b/>
                <w:bCs/>
              </w:rPr>
              <w:t xml:space="preserve">~$10.2 bn</w:t>
            </w:r>
          </w:p>
        </w:tc>
      </w:tr>
      <w:tr>
        <w:tc>
          <w:tcPr/>
          <w:p>
            <w:pPr>
              <w:pStyle w:val="Compact"/>
            </w:pPr>
            <w:r>
              <w:t xml:space="preserve">Total revenue forgone, FY 2022-23 (reference point)</w:t>
            </w:r>
          </w:p>
        </w:tc>
        <w:tc>
          <w:tcPr/>
          <w:p>
            <w:pPr>
              <w:pStyle w:val="Compact"/>
            </w:pPr>
            <w:r>
              <w:t xml:space="preserve">$7.8 bn</w:t>
            </w:r>
          </w:p>
        </w:tc>
      </w:tr>
      <w:tr>
        <w:tc>
          <w:tcPr/>
          <w:p>
            <w:pPr>
              <w:pStyle w:val="Compact"/>
            </w:pPr>
            <w:r>
              <w:t xml:space="preserve">Mining sector share, FY24-25</w:t>
            </w:r>
          </w:p>
        </w:tc>
        <w:tc>
          <w:tcPr/>
          <w:p>
            <w:pPr>
              <w:pStyle w:val="Compact"/>
            </w:pPr>
            <w:r>
              <w:t xml:space="preserve">~$4.8 bn (coal alone ~$1.4 bn)</w:t>
            </w:r>
          </w:p>
        </w:tc>
      </w:tr>
      <w:tr>
        <w:tc>
          <w:tcPr/>
          <w:p>
            <w:pPr>
              <w:pStyle w:val="Compact"/>
            </w:pPr>
            <w:r>
              <w:t xml:space="preserve">Agriculture, forestry, fishing</w:t>
            </w:r>
          </w:p>
        </w:tc>
        <w:tc>
          <w:tcPr/>
          <w:p>
            <w:pPr>
              <w:pStyle w:val="Compact"/>
            </w:pPr>
            <w:r>
              <w:t xml:space="preserve">~$1.3 bn</w:t>
            </w:r>
          </w:p>
        </w:tc>
      </w:tr>
      <w:tr>
        <w:tc>
          <w:tcPr/>
          <w:p>
            <w:pPr>
              <w:pStyle w:val="Compact"/>
            </w:pPr>
            <w:r>
              <w:t xml:space="preserve">Transport, postal, warehousing</w:t>
            </w:r>
          </w:p>
        </w:tc>
        <w:tc>
          <w:tcPr/>
          <w:p>
            <w:pPr>
              <w:pStyle w:val="Compact"/>
            </w:pPr>
            <w:r>
              <w:t xml:space="preserve">~$1.0 bn</w:t>
            </w:r>
          </w:p>
        </w:tc>
      </w:tr>
      <w:tr>
        <w:tc>
          <w:tcPr/>
          <w:p>
            <w:pPr>
              <w:pStyle w:val="Compact"/>
            </w:pPr>
            <w:r>
              <w:t xml:space="preserve">Off-road diesel credit rate</w:t>
            </w:r>
          </w:p>
        </w:tc>
        <w:tc>
          <w:tcPr/>
          <w:p>
            <w:pPr>
              <w:pStyle w:val="Compact"/>
            </w:pPr>
            <w:r>
              <w:t xml:space="preserve">48.8 c/L (full excise refund)</w:t>
            </w:r>
          </w:p>
        </w:tc>
      </w:tr>
      <w:tr>
        <w:tc>
          <w:tcPr/>
          <w:p>
            <w:pPr>
              <w:pStyle w:val="Compact"/>
            </w:pPr>
            <w:r>
              <w:t xml:space="preserve">Heavy on-road (&gt;4.5 t GVM)</w:t>
            </w:r>
          </w:p>
        </w:tc>
        <w:tc>
          <w:tcPr/>
          <w:p>
            <w:pPr>
              <w:pStyle w:val="Compact"/>
            </w:pPr>
            <w:r>
              <w:t xml:space="preserve">~19 c/L (partial, reflecting road-user charge)</w:t>
            </w:r>
          </w:p>
        </w:tc>
      </w:tr>
      <w:tr>
        <w:tc>
          <w:tcPr/>
          <w:p>
            <w:pPr>
              <w:pStyle w:val="Compact"/>
            </w:pPr>
            <w:r>
              <w:t xml:space="preserve">Growth</w:t>
            </w:r>
          </w:p>
        </w:tc>
        <w:tc>
          <w:tcPr/>
          <w:p>
            <w:pPr>
              <w:pStyle w:val="Compact"/>
            </w:pPr>
            <w:r>
              <w:t xml:space="preserve">Mining claims growing alongside off-road diesel consumption; total FTCS up ~30% over three years</w:t>
            </w:r>
          </w:p>
        </w:tc>
      </w:tr>
    </w:tbl>
    <w:p>
      <w:pPr>
        <w:pStyle w:val="BodyText"/>
      </w:pPr>
      <w:r>
        <w:rPr>
          <w:b/>
          <w:bCs/>
        </w:rPr>
        <w:t xml:space="preserve">Key analytical points:</w:t>
      </w:r>
      <w:r>
        <w:t xml:space="preserve"> </w:t>
      </w:r>
      <w:r>
        <w:t xml:space="preserve">1. The FTCS is the</w:t>
      </w:r>
      <w:r>
        <w:t xml:space="preserve"> </w:t>
      </w:r>
      <w:r>
        <w:rPr>
          <w:b/>
          <w:bCs/>
        </w:rPr>
        <w:t xml:space="preserve">largest single fossil-fuel subsidy</w:t>
      </w:r>
      <w:r>
        <w:t xml:space="preserve"> </w:t>
      </w:r>
      <w:r>
        <w:t xml:space="preserve">in the Commonwealth budget and larger than total Commonwealth spending on public hospitals.</w:t>
      </w:r>
      <w:r>
        <w:t xml:space="preserve"> </w:t>
      </w:r>
      <w:r>
        <w:t xml:space="preserve">2. It is a</w:t>
      </w:r>
      <w:r>
        <w:t xml:space="preserve"> </w:t>
      </w:r>
      <w:r>
        <w:rPr>
          <w:b/>
          <w:bCs/>
        </w:rPr>
        <w:t xml:space="preserve">tax expenditure</w:t>
      </w:r>
      <w:r>
        <w:t xml:space="preserve">, not an appropriation — it sits off the normal budget scrutiny cycle.</w:t>
      </w:r>
      <w:r>
        <w:t xml:space="preserve"> </w:t>
      </w:r>
      <w:r>
        <w:t xml:space="preserve">3. It</w:t>
      </w:r>
      <w:r>
        <w:t xml:space="preserve"> </w:t>
      </w:r>
      <w:r>
        <w:rPr>
          <w:b/>
          <w:bCs/>
        </w:rPr>
        <w:t xml:space="preserve">halves the price signal for diesel electrification</w:t>
      </w:r>
      <w:r>
        <w:t xml:space="preserve">: a mine operator pays effectively $1.51/L instead of $2.00/L, cutting the saving from switching to electric equipment by ~30%.</w:t>
      </w:r>
      <w:r>
        <w:t xml:space="preserve"> </w:t>
      </w:r>
      <w:r>
        <w:t xml:space="preserve">4. It is</w:t>
      </w:r>
      <w:r>
        <w:t xml:space="preserve"> </w:t>
      </w:r>
      <w:r>
        <w:rPr>
          <w:b/>
          <w:bCs/>
        </w:rPr>
        <w:t xml:space="preserve">regressive by sector</w:t>
      </w:r>
      <w:r>
        <w:t xml:space="preserve"> </w:t>
      </w:r>
      <w:r>
        <w:t xml:space="preserve">— BHP, Rio Tinto, Fortescue and the coal majors dominate claims. Small farmers are a political shield for what is structurally a mining-industry payment.</w:t>
      </w:r>
      <w:r>
        <w:t xml:space="preserve"> </w:t>
      </w:r>
      <w:r>
        <w:t xml:space="preserve">5. The FTCS directly contradicts the 2035 target: it subsidises the diesel consumption that makes ~20% of domestic emissions.</w:t>
      </w:r>
    </w:p>
    <w:p>
      <w:pPr>
        <w:pStyle w:val="BodyText"/>
      </w:pPr>
      <w:r>
        <w:t xml:space="preserve">Sources:</w:t>
      </w:r>
      <w:r>
        <w:t xml:space="preserve"> </w:t>
      </w:r>
      <w:hyperlink r:id="rId33">
        <w:r>
          <w:rPr>
            <w:rStyle w:val="Hyperlink"/>
          </w:rPr>
          <w:t xml:space="preserve">Australia Institute — FTCS and fossil-fuel subsidies</w:t>
        </w:r>
      </w:hyperlink>
      <w:r>
        <w:t xml:space="preserve">;</w:t>
      </w:r>
      <w:r>
        <w:t xml:space="preserve"> </w:t>
      </w:r>
      <w:hyperlink r:id="rId34">
        <w:r>
          <w:rPr>
            <w:rStyle w:val="Hyperlink"/>
          </w:rPr>
          <w:t xml:space="preserve">IEEFA — mining’s diesel addiction</w:t>
        </w:r>
      </w:hyperlink>
      <w:r>
        <w:t xml:space="preserve">;</w:t>
      </w:r>
      <w:r>
        <w:t xml:space="preserve"> </w:t>
      </w:r>
      <w:hyperlink r:id="rId35">
        <w:r>
          <w:rPr>
            <w:rStyle w:val="Hyperlink"/>
          </w:rPr>
          <w:t xml:space="preserve">PBO fuel taxation explainer</w:t>
        </w:r>
      </w:hyperlink>
      <w:r>
        <w:t xml:space="preserve">; local background note</w:t>
      </w:r>
      <w:r>
        <w:t xml:space="preserve"> </w:t>
      </w:r>
      <w:r>
        <w:rPr>
          <w:rStyle w:val="VerbatimChar"/>
        </w:rPr>
        <w:t xml:space="preserve">ftc.md</w:t>
      </w:r>
      <w:r>
        <w:t xml:space="preserve">.</w:t>
      </w:r>
    </w:p>
    <w:bookmarkStart w:id="36" w:name="X3eda8bab6b1b6c74f13a6c8d4ca4ce12988a7dc"/>
    <w:p>
      <w:pPr>
        <w:pStyle w:val="Heading4"/>
      </w:pPr>
      <w:r>
        <w:t xml:space="preserve">3b-i. Mining diesel consumption, intensity, and per-tonne cost</w:t>
      </w:r>
    </w:p>
    <w:p>
      <w:pPr>
        <w:pStyle w:val="FirstParagraph"/>
      </w:pPr>
      <w:r>
        <w:t xml:space="preserve">Primary data. AES Table F (Aug 2025 release) for diesel consumption by ANZSIC subdivision; OCE</w:t>
      </w:r>
      <w:r>
        <w:t xml:space="preserve"> </w:t>
      </w:r>
      <w:r>
        <w:rPr>
          <w:i/>
          <w:iCs/>
        </w:rPr>
        <w:t xml:space="preserve">Resources and Energy Quarterly</w:t>
      </w:r>
      <w:r>
        <w:t xml:space="preserve"> </w:t>
      </w:r>
      <w:r>
        <w:t xml:space="preserve">historical data (Dec 2025 release) for commodity production.</w:t>
      </w:r>
    </w:p>
    <w:p>
      <w:pPr>
        <w:pStyle w:val="BodyText"/>
      </w:pPr>
      <w:r>
        <w:rPr>
          <w:b/>
          <w:bCs/>
        </w:rPr>
        <w:t xml:space="preserve">Decade consumption growth, FY2013-14 → FY2023-24:</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Sub-sector</w:t>
            </w:r>
          </w:p>
        </w:tc>
        <w:tc>
          <w:tcPr/>
          <w:p>
            <w:pPr>
              <w:pStyle w:val="Compact"/>
            </w:pPr>
            <w:r>
              <w:t xml:space="preserve">Diesel 2013-14</w:t>
            </w:r>
          </w:p>
        </w:tc>
        <w:tc>
          <w:tcPr/>
          <w:p>
            <w:pPr>
              <w:pStyle w:val="Compact"/>
            </w:pPr>
            <w:r>
              <w:t xml:space="preserve">Diesel 2023-24</w:t>
            </w:r>
          </w:p>
        </w:tc>
        <w:tc>
          <w:tcPr/>
          <w:p>
            <w:pPr>
              <w:pStyle w:val="Compact"/>
            </w:pPr>
            <w:r>
              <w:t xml:space="preserve">Change</w:t>
            </w:r>
          </w:p>
        </w:tc>
      </w:tr>
      <w:tr>
        <w:tc>
          <w:tcPr/>
          <w:p>
            <w:pPr>
              <w:pStyle w:val="Compact"/>
            </w:pPr>
            <w:r>
              <w:t xml:space="preserve">Coal mining (ANZSIC 06)</w:t>
            </w:r>
          </w:p>
        </w:tc>
        <w:tc>
          <w:tcPr/>
          <w:p>
            <w:pPr>
              <w:pStyle w:val="Compact"/>
            </w:pPr>
            <w:r>
              <w:t xml:space="preserve">103.0 PJ</w:t>
            </w:r>
          </w:p>
        </w:tc>
        <w:tc>
          <w:tcPr/>
          <w:p>
            <w:pPr>
              <w:pStyle w:val="Compact"/>
            </w:pPr>
            <w:r>
              <w:t xml:space="preserve">151.4 PJ</w:t>
            </w:r>
          </w:p>
        </w:tc>
        <w:tc>
          <w:tcPr/>
          <w:p>
            <w:pPr>
              <w:pStyle w:val="Compact"/>
            </w:pPr>
            <w:r>
              <w:rPr>
                <w:b/>
                <w:bCs/>
              </w:rPr>
              <w:t xml:space="preserve">+47.0%</w:t>
            </w:r>
          </w:p>
        </w:tc>
      </w:tr>
      <w:tr>
        <w:tc>
          <w:tcPr/>
          <w:p>
            <w:pPr>
              <w:pStyle w:val="Compact"/>
            </w:pPr>
            <w:r>
              <w:t xml:space="preserve">“Other mining”</w:t>
            </w:r>
            <w:r>
              <w:t xml:space="preserve"> </w:t>
            </w:r>
            <w:r>
              <w:t xml:space="preserve">08-10, Australia</w:t>
            </w:r>
          </w:p>
        </w:tc>
        <w:tc>
          <w:tcPr/>
          <w:p>
            <w:pPr>
              <w:pStyle w:val="Compact"/>
            </w:pPr>
            <w:r>
              <w:t xml:space="preserve">103.4 PJ</w:t>
            </w:r>
          </w:p>
        </w:tc>
        <w:tc>
          <w:tcPr/>
          <w:p>
            <w:pPr>
              <w:pStyle w:val="Compact"/>
            </w:pPr>
            <w:r>
              <w:t xml:space="preserve">145.4 PJ</w:t>
            </w:r>
          </w:p>
        </w:tc>
        <w:tc>
          <w:tcPr/>
          <w:p>
            <w:pPr>
              <w:pStyle w:val="Compact"/>
            </w:pPr>
            <w:r>
              <w:t xml:space="preserve">+40.6%</w:t>
            </w:r>
          </w:p>
        </w:tc>
      </w:tr>
      <w:tr>
        <w:tc>
          <w:tcPr/>
          <w:p>
            <w:pPr>
              <w:pStyle w:val="Compact"/>
            </w:pPr>
            <w:r>
              <w:t xml:space="preserve">— of which WA only (≈iron ore proxy)</w:t>
            </w:r>
          </w:p>
        </w:tc>
        <w:tc>
          <w:tcPr/>
          <w:p>
            <w:pPr>
              <w:pStyle w:val="Compact"/>
            </w:pPr>
            <w:r>
              <w:t xml:space="preserve">79.1 PJ</w:t>
            </w:r>
          </w:p>
        </w:tc>
        <w:tc>
          <w:tcPr/>
          <w:p>
            <w:pPr>
              <w:pStyle w:val="Compact"/>
            </w:pPr>
            <w:r>
              <w:t xml:space="preserve">120.3 PJ</w:t>
            </w:r>
          </w:p>
        </w:tc>
        <w:tc>
          <w:tcPr/>
          <w:p>
            <w:pPr>
              <w:pStyle w:val="Compact"/>
            </w:pPr>
            <w:r>
              <w:rPr>
                <w:b/>
                <w:bCs/>
              </w:rPr>
              <w:t xml:space="preserve">+52.1%</w:t>
            </w:r>
          </w:p>
        </w:tc>
      </w:tr>
      <w:tr>
        <w:tc>
          <w:tcPr/>
          <w:p>
            <w:pPr>
              <w:pStyle w:val="Compact"/>
            </w:pPr>
            <w:r>
              <w:t xml:space="preserve">Oil &amp; gas extraction (ANZSIC 07)</w:t>
            </w:r>
          </w:p>
        </w:tc>
        <w:tc>
          <w:tcPr/>
          <w:p>
            <w:pPr>
              <w:pStyle w:val="Compact"/>
            </w:pPr>
            <w:r>
              <w:t xml:space="preserve">6.6 PJ</w:t>
            </w:r>
          </w:p>
        </w:tc>
        <w:tc>
          <w:tcPr/>
          <w:p>
            <w:pPr>
              <w:pStyle w:val="Compact"/>
            </w:pPr>
            <w:r>
              <w:t xml:space="preserve">2.8 PJ</w:t>
            </w:r>
          </w:p>
        </w:tc>
        <w:tc>
          <w:tcPr/>
          <w:p>
            <w:pPr>
              <w:pStyle w:val="Compact"/>
            </w:pPr>
            <w:r>
              <w:t xml:space="preserve">–57.5%</w:t>
            </w:r>
          </w:p>
        </w:tc>
      </w:tr>
      <w:tr>
        <w:tc>
          <w:tcPr/>
          <w:p>
            <w:pPr>
              <w:pStyle w:val="Compact"/>
            </w:pPr>
            <w:r>
              <w:rPr>
                <w:b/>
                <w:bCs/>
              </w:rPr>
              <w:t xml:space="preserve">Total mining (AES row 73)</w:t>
            </w:r>
          </w:p>
        </w:tc>
        <w:tc>
          <w:tcPr/>
          <w:p>
            <w:pPr>
              <w:pStyle w:val="Compact"/>
            </w:pPr>
            <w:r>
              <w:rPr>
                <w:b/>
                <w:bCs/>
              </w:rPr>
              <w:t xml:space="preserve">213.0 PJ</w:t>
            </w:r>
          </w:p>
        </w:tc>
        <w:tc>
          <w:tcPr/>
          <w:p>
            <w:pPr>
              <w:pStyle w:val="Compact"/>
            </w:pPr>
            <w:r>
              <w:rPr>
                <w:b/>
                <w:bCs/>
              </w:rPr>
              <w:t xml:space="preserve">299.6 PJ</w:t>
            </w:r>
          </w:p>
        </w:tc>
        <w:tc>
          <w:tcPr/>
          <w:p>
            <w:pPr>
              <w:pStyle w:val="Compact"/>
            </w:pPr>
            <w:r>
              <w:rPr>
                <w:b/>
                <w:bCs/>
              </w:rPr>
              <w:t xml:space="preserve">+40.6%</w:t>
            </w:r>
          </w:p>
        </w:tc>
      </w:tr>
    </w:tbl>
    <w:p>
      <w:pPr>
        <w:pStyle w:val="BodyText"/>
      </w:pPr>
      <w:r>
        <w:rPr>
          <w:b/>
          <w:bCs/>
        </w:rPr>
        <w:t xml:space="preserve">Production, same period: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Commodity</w:t>
            </w:r>
          </w:p>
        </w:tc>
        <w:tc>
          <w:tcPr/>
          <w:p>
            <w:pPr>
              <w:pStyle w:val="Compact"/>
            </w:pPr>
            <w:r>
              <w:t xml:space="preserve">2013-14</w:t>
            </w:r>
          </w:p>
        </w:tc>
        <w:tc>
          <w:tcPr/>
          <w:p>
            <w:pPr>
              <w:pStyle w:val="Compact"/>
            </w:pPr>
            <w:r>
              <w:t xml:space="preserve">2023-24</w:t>
            </w:r>
          </w:p>
        </w:tc>
        <w:tc>
          <w:tcPr/>
          <w:p>
            <w:pPr>
              <w:pStyle w:val="Compact"/>
            </w:pPr>
            <w:r>
              <w:t xml:space="preserve">Change</w:t>
            </w:r>
          </w:p>
        </w:tc>
      </w:tr>
      <w:tr>
        <w:tc>
          <w:tcPr/>
          <w:p>
            <w:pPr>
              <w:pStyle w:val="Compact"/>
            </w:pPr>
            <w:r>
              <w:t xml:space="preserve">Black coal, saleable (Australia)</w:t>
            </w:r>
          </w:p>
        </w:tc>
        <w:tc>
          <w:tcPr/>
          <w:p>
            <w:pPr>
              <w:pStyle w:val="Compact"/>
            </w:pPr>
            <w:r>
              <w:t xml:space="preserve">430.2 Mt</w:t>
            </w:r>
          </w:p>
        </w:tc>
        <w:tc>
          <w:tcPr/>
          <w:p>
            <w:pPr>
              <w:pStyle w:val="Compact"/>
            </w:pPr>
            <w:r>
              <w:t xml:space="preserve">420.7 Mt</w:t>
            </w:r>
          </w:p>
        </w:tc>
        <w:tc>
          <w:tcPr/>
          <w:p>
            <w:pPr>
              <w:pStyle w:val="Compact"/>
            </w:pPr>
            <w:r>
              <w:rPr>
                <w:b/>
                <w:bCs/>
              </w:rPr>
              <w:t xml:space="preserve">–2.2%</w:t>
            </w:r>
          </w:p>
        </w:tc>
      </w:tr>
      <w:tr>
        <w:tc>
          <w:tcPr/>
          <w:p>
            <w:pPr>
              <w:pStyle w:val="Compact"/>
            </w:pPr>
            <w:r>
              <w:t xml:space="preserve">Iron ore, Australia</w:t>
            </w:r>
          </w:p>
        </w:tc>
        <w:tc>
          <w:tcPr/>
          <w:p>
            <w:pPr>
              <w:pStyle w:val="Compact"/>
            </w:pPr>
            <w:r>
              <w:t xml:space="preserve">680.2 Mt</w:t>
            </w:r>
          </w:p>
        </w:tc>
        <w:tc>
          <w:tcPr/>
          <w:p>
            <w:pPr>
              <w:pStyle w:val="Compact"/>
            </w:pPr>
            <w:r>
              <w:t xml:space="preserve">952.4 Mt</w:t>
            </w:r>
          </w:p>
        </w:tc>
        <w:tc>
          <w:tcPr/>
          <w:p>
            <w:pPr>
              <w:pStyle w:val="Compact"/>
            </w:pPr>
            <w:r>
              <w:t xml:space="preserve">+40.0%</w:t>
            </w:r>
          </w:p>
        </w:tc>
      </w:tr>
      <w:tr>
        <w:tc>
          <w:tcPr/>
          <w:p>
            <w:pPr>
              <w:pStyle w:val="Compact"/>
            </w:pPr>
            <w:r>
              <w:t xml:space="preserve">Iron ore, WA only</w:t>
            </w:r>
          </w:p>
        </w:tc>
        <w:tc>
          <w:tcPr/>
          <w:p>
            <w:pPr>
              <w:pStyle w:val="Compact"/>
            </w:pPr>
            <w:r>
              <w:t xml:space="preserve">663.5 Mt</w:t>
            </w:r>
          </w:p>
        </w:tc>
        <w:tc>
          <w:tcPr/>
          <w:p>
            <w:pPr>
              <w:pStyle w:val="Compact"/>
            </w:pPr>
            <w:r>
              <w:t xml:space="preserve">941.9 Mt</w:t>
            </w:r>
          </w:p>
        </w:tc>
        <w:tc>
          <w:tcPr/>
          <w:p>
            <w:pPr>
              <w:pStyle w:val="Compact"/>
            </w:pPr>
            <w:r>
              <w:t xml:space="preserve">+42.0%</w:t>
            </w:r>
          </w:p>
        </w:tc>
      </w:tr>
    </w:tbl>
    <w:p>
      <w:pPr>
        <w:pStyle w:val="BodyText"/>
      </w:pPr>
      <w:r>
        <w:rPr>
          <w:b/>
          <w:bCs/>
        </w:rPr>
        <w:t xml:space="preserve">Implied diesel intensity (litres per tonne of saleable product):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p>
        </w:tc>
        <w:tc>
          <w:tcPr/>
          <w:p>
            <w:pPr>
              <w:pStyle w:val="Compact"/>
            </w:pPr>
            <w:r>
              <w:t xml:space="preserve">L/t (2013-14)</w:t>
            </w:r>
          </w:p>
        </w:tc>
        <w:tc>
          <w:tcPr/>
          <w:p>
            <w:pPr>
              <w:pStyle w:val="Compact"/>
            </w:pPr>
            <w:r>
              <w:t xml:space="preserve">L/t (2023-24)</w:t>
            </w:r>
          </w:p>
        </w:tc>
        <w:tc>
          <w:tcPr/>
          <w:p>
            <w:pPr>
              <w:pStyle w:val="Compact"/>
            </w:pPr>
            <w:r>
              <w:t xml:space="preserve">Intensity change</w:t>
            </w:r>
          </w:p>
        </w:tc>
      </w:tr>
      <w:tr>
        <w:tc>
          <w:tcPr/>
          <w:p>
            <w:pPr>
              <w:pStyle w:val="Compact"/>
            </w:pPr>
            <w:r>
              <w:t xml:space="preserve">Coal (per t saleable)</w:t>
            </w:r>
          </w:p>
        </w:tc>
        <w:tc>
          <w:tcPr/>
          <w:p>
            <w:pPr>
              <w:pStyle w:val="Compact"/>
            </w:pPr>
            <w:r>
              <w:t xml:space="preserve">6.2</w:t>
            </w:r>
          </w:p>
        </w:tc>
        <w:tc>
          <w:tcPr/>
          <w:p>
            <w:pPr>
              <w:pStyle w:val="Compact"/>
            </w:pPr>
            <w:r>
              <w:rPr>
                <w:b/>
                <w:bCs/>
              </w:rPr>
              <w:t xml:space="preserve">9.3</w:t>
            </w:r>
          </w:p>
        </w:tc>
        <w:tc>
          <w:tcPr/>
          <w:p>
            <w:pPr>
              <w:pStyle w:val="Compact"/>
            </w:pPr>
            <w:r>
              <w:rPr>
                <w:b/>
                <w:bCs/>
              </w:rPr>
              <w:t xml:space="preserve">+50%</w:t>
            </w:r>
          </w:p>
        </w:tc>
      </w:tr>
      <w:tr>
        <w:tc>
          <w:tcPr/>
          <w:p>
            <w:pPr>
              <w:pStyle w:val="Compact"/>
            </w:pPr>
            <w:r>
              <w:t xml:space="preserve">Coal (per t raw)</w:t>
            </w:r>
          </w:p>
        </w:tc>
        <w:tc>
          <w:tcPr/>
          <w:p>
            <w:pPr>
              <w:pStyle w:val="Compact"/>
            </w:pPr>
            <w:r>
              <w:t xml:space="preserve">4.7</w:t>
            </w:r>
          </w:p>
        </w:tc>
        <w:tc>
          <w:tcPr/>
          <w:p>
            <w:pPr>
              <w:pStyle w:val="Compact"/>
            </w:pPr>
            <w:r>
              <w:t xml:space="preserve">7.3</w:t>
            </w:r>
          </w:p>
        </w:tc>
        <w:tc>
          <w:tcPr/>
          <w:p>
            <w:pPr>
              <w:pStyle w:val="Compact"/>
            </w:pPr>
            <w:r>
              <w:t xml:space="preserve">+53%</w:t>
            </w:r>
          </w:p>
        </w:tc>
      </w:tr>
      <w:tr>
        <w:tc>
          <w:tcPr/>
          <w:p>
            <w:pPr>
              <w:pStyle w:val="Compact"/>
            </w:pPr>
            <w:r>
              <w:t xml:space="preserve">Iron ore (WA proxy)</w:t>
            </w:r>
          </w:p>
        </w:tc>
        <w:tc>
          <w:tcPr/>
          <w:p>
            <w:pPr>
              <w:pStyle w:val="Compact"/>
            </w:pPr>
            <w:r>
              <w:t xml:space="preserve">3.1</w:t>
            </w:r>
          </w:p>
        </w:tc>
        <w:tc>
          <w:tcPr/>
          <w:p>
            <w:pPr>
              <w:pStyle w:val="Compact"/>
            </w:pPr>
            <w:r>
              <w:t xml:space="preserve">3.3</w:t>
            </w:r>
          </w:p>
        </w:tc>
        <w:tc>
          <w:tcPr/>
          <w:p>
            <w:pPr>
              <w:pStyle w:val="Compact"/>
            </w:pPr>
            <w:r>
              <w:rPr>
                <w:b/>
                <w:bCs/>
              </w:rPr>
              <w:t xml:space="preserve">+7%</w:t>
            </w:r>
          </w:p>
        </w:tc>
      </w:tr>
    </w:tbl>
    <w:p>
      <w:pPr>
        <w:pStyle w:val="BodyText"/>
      </w:pPr>
      <w:r>
        <w:t xml:space="preserve">(Conversion: 1 PJ diesel = 25.91 ML at 38.6 MJ/L energy density.)</w:t>
      </w:r>
    </w:p>
    <w:p>
      <w:pPr>
        <w:pStyle w:val="BodyText"/>
      </w:pPr>
      <w:r>
        <w:rPr>
          <w:b/>
          <w:bCs/>
        </w:rPr>
        <w:t xml:space="preserve">Per-tonne diesel cost at FY23-24 intensity, $2/L retail:</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p>
        </w:tc>
        <w:tc>
          <w:tcPr/>
          <w:p>
            <w:pPr>
              <w:pStyle w:val="Compact"/>
            </w:pPr>
            <w:r>
              <w:t xml:space="preserve">Gross $/t (pre-rebate)</w:t>
            </w:r>
          </w:p>
        </w:tc>
        <w:tc>
          <w:tcPr/>
          <w:p>
            <w:pPr>
              <w:pStyle w:val="Compact"/>
            </w:pPr>
            <w:r>
              <w:t xml:space="preserve">Net $/t (post-FTC, at $1.51/L)</w:t>
            </w:r>
          </w:p>
        </w:tc>
        <w:tc>
          <w:tcPr/>
          <w:p>
            <w:pPr>
              <w:pStyle w:val="Compact"/>
            </w:pPr>
            <w:r>
              <w:t xml:space="preserve">Rebate transfer $/t</w:t>
            </w:r>
          </w:p>
        </w:tc>
      </w:tr>
      <w:tr>
        <w:tc>
          <w:tcPr/>
          <w:p>
            <w:pPr>
              <w:pStyle w:val="Compact"/>
            </w:pPr>
            <w:r>
              <w:t xml:space="preserve">Coal</w:t>
            </w:r>
          </w:p>
        </w:tc>
        <w:tc>
          <w:tcPr/>
          <w:p>
            <w:pPr>
              <w:pStyle w:val="Compact"/>
            </w:pPr>
            <w:r>
              <w:rPr>
                <w:b/>
                <w:bCs/>
              </w:rPr>
              <w:t xml:space="preserve">$18.6</w:t>
            </w:r>
          </w:p>
        </w:tc>
        <w:tc>
          <w:tcPr/>
          <w:p>
            <w:pPr>
              <w:pStyle w:val="Compact"/>
            </w:pPr>
            <w:r>
              <w:t xml:space="preserve">$14.0</w:t>
            </w:r>
          </w:p>
        </w:tc>
        <w:tc>
          <w:tcPr/>
          <w:p>
            <w:pPr>
              <w:pStyle w:val="Compact"/>
            </w:pPr>
            <w:r>
              <w:rPr>
                <w:b/>
                <w:bCs/>
              </w:rPr>
              <w:t xml:space="preserve">$4.6</w:t>
            </w:r>
          </w:p>
        </w:tc>
      </w:tr>
      <w:tr>
        <w:tc>
          <w:tcPr/>
          <w:p>
            <w:pPr>
              <w:pStyle w:val="Compact"/>
            </w:pPr>
            <w:r>
              <w:t xml:space="preserve">Iron ore</w:t>
            </w:r>
          </w:p>
        </w:tc>
        <w:tc>
          <w:tcPr/>
          <w:p>
            <w:pPr>
              <w:pStyle w:val="Compact"/>
            </w:pPr>
            <w:r>
              <w:rPr>
                <w:b/>
                <w:bCs/>
              </w:rPr>
              <w:t xml:space="preserve">$6.6</w:t>
            </w:r>
          </w:p>
        </w:tc>
        <w:tc>
          <w:tcPr/>
          <w:p>
            <w:pPr>
              <w:pStyle w:val="Compact"/>
            </w:pPr>
            <w:r>
              <w:t xml:space="preserve">$5.0</w:t>
            </w:r>
          </w:p>
        </w:tc>
        <w:tc>
          <w:tcPr/>
          <w:p>
            <w:pPr>
              <w:pStyle w:val="Compact"/>
            </w:pPr>
            <w:r>
              <w:t xml:space="preserve">$1.6</w:t>
            </w:r>
          </w:p>
        </w:tc>
      </w:tr>
    </w:tbl>
    <w:p>
      <w:pPr>
        <w:pStyle w:val="BodyText"/>
      </w:pPr>
      <w:r>
        <w:rPr>
          <w:b/>
          <w:bCs/>
        </w:rPr>
        <w:t xml:space="preserve">Aggregate rebate flow to these two commodities (FY23-24):</w:t>
      </w:r>
    </w:p>
    <w:p>
      <w:pPr>
        <w:pStyle w:val="Compact"/>
        <w:numPr>
          <w:ilvl w:val="0"/>
          <w:numId w:val="1005"/>
        </w:numPr>
      </w:pPr>
      <w:r>
        <w:t xml:space="preserve">Coal: $4.6/t × 420 Mt saleable ≈</w:t>
      </w:r>
      <w:r>
        <w:t xml:space="preserve"> </w:t>
      </w:r>
      <w:r>
        <w:rPr>
          <w:b/>
          <w:bCs/>
        </w:rPr>
        <w:t xml:space="preserve">$1.9 bn/yr</w:t>
      </w:r>
      <w:r>
        <w:t xml:space="preserve"> </w:t>
      </w:r>
      <w:r>
        <w:t xml:space="preserve">in fuel tax credits.</w:t>
      </w:r>
    </w:p>
    <w:p>
      <w:pPr>
        <w:pStyle w:val="Compact"/>
        <w:numPr>
          <w:ilvl w:val="0"/>
          <w:numId w:val="1005"/>
        </w:numPr>
      </w:pPr>
      <w:r>
        <w:t xml:space="preserve">Iron ore (WA): $1.6/t × 942 Mt ≈</w:t>
      </w:r>
      <w:r>
        <w:t xml:space="preserve"> </w:t>
      </w:r>
      <w:r>
        <w:rPr>
          <w:b/>
          <w:bCs/>
        </w:rPr>
        <w:t xml:space="preserve">$1.5 bn/yr</w:t>
      </w:r>
      <w:r>
        <w:t xml:space="preserve">.</w:t>
      </w:r>
    </w:p>
    <w:p>
      <w:pPr>
        <w:pStyle w:val="Compact"/>
        <w:numPr>
          <w:ilvl w:val="0"/>
          <w:numId w:val="1005"/>
        </w:numPr>
      </w:pPr>
      <w:r>
        <w:t xml:space="preserve">Combined:</w:t>
      </w:r>
      <w:r>
        <w:t xml:space="preserve"> </w:t>
      </w:r>
      <w:r>
        <w:rPr>
          <w:b/>
          <w:bCs/>
        </w:rPr>
        <w:t xml:space="preserve">~$3.4 bn/yr</w:t>
      </w:r>
      <w:r>
        <w:t xml:space="preserve">, or roughly 70% of the entire mining-sector FTC claim (~$4.8 bn/yr).</w:t>
      </w:r>
    </w:p>
    <w:p>
      <w:pPr>
        <w:pStyle w:val="FirstParagraph"/>
      </w:pPr>
      <w:r>
        <w:rPr>
          <w:b/>
          <w:bCs/>
        </w:rPr>
        <w:t xml:space="preserve">Share of cash cost:</w:t>
      </w:r>
    </w:p>
    <w:p>
      <w:pPr>
        <w:pStyle w:val="Compact"/>
        <w:numPr>
          <w:ilvl w:val="0"/>
          <w:numId w:val="1006"/>
        </w:numPr>
      </w:pPr>
      <w:r>
        <w:t xml:space="preserve">Thermal coal FOB cash cost ~A$90–110/t; diesel at $18/t =</w:t>
      </w:r>
      <w:r>
        <w:t xml:space="preserve"> </w:t>
      </w:r>
      <w:r>
        <w:rPr>
          <w:b/>
          <w:bCs/>
        </w:rPr>
        <w:t xml:space="preserve">17–20% of cash cost</w:t>
      </w:r>
      <w:r>
        <w:t xml:space="preserve">.</w:t>
      </w:r>
    </w:p>
    <w:p>
      <w:pPr>
        <w:pStyle w:val="Compact"/>
        <w:numPr>
          <w:ilvl w:val="0"/>
          <w:numId w:val="1006"/>
        </w:numPr>
      </w:pPr>
      <w:r>
        <w:t xml:space="preserve">Pilbara iron ore FOB cash cost ~A$25–30/t; diesel at $6.6/t =</w:t>
      </w:r>
      <w:r>
        <w:t xml:space="preserve"> </w:t>
      </w:r>
      <w:r>
        <w:rPr>
          <w:b/>
          <w:bCs/>
        </w:rPr>
        <w:t xml:space="preserve">22–26% of cash cost</w:t>
      </w:r>
      <w:r>
        <w:t xml:space="preserve">.</w:t>
      </w:r>
    </w:p>
    <w:p>
      <w:pPr>
        <w:pStyle w:val="FirstParagraph"/>
      </w:pPr>
      <w:r>
        <w:t xml:space="preserve">This is why Fortescue’s payback on electric trucks clears in under two years — diesel is already a quarter of their unit cost. For coal miners the economics would be equally compelling, except that the rebate removes 24% of the pre-rebate diesel cost and thereby muffles the signal.</w:t>
      </w:r>
    </w:p>
    <w:p>
      <w:pPr>
        <w:pStyle w:val="BodyText"/>
      </w:pPr>
      <w:r>
        <w:rPr>
          <w:b/>
          <w:bCs/>
        </w:rPr>
        <w:t xml:space="preserve">The analytical punchline.</w:t>
      </w:r>
    </w:p>
    <w:p>
      <w:pPr>
        <w:pStyle w:val="BodyText"/>
      </w:pPr>
      <w:r>
        <w:t xml:space="preserve">The two commodities tell opposite stories:</w:t>
      </w:r>
    </w:p>
    <w:p>
      <w:pPr>
        <w:pStyle w:val="Compact"/>
        <w:numPr>
          <w:ilvl w:val="0"/>
          <w:numId w:val="1007"/>
        </w:numPr>
      </w:pPr>
      <w:r>
        <w:rPr>
          <w:b/>
          <w:bCs/>
        </w:rPr>
        <w:t xml:space="preserve">Coal output is flat-to-down, but coal diesel intensity has risen ~50% in a decade.</w:t>
      </w:r>
      <w:r>
        <w:t xml:space="preserve"> </w:t>
      </w:r>
      <w:r>
        <w:t xml:space="preserve">Coal miners are burning 9 L of diesel per tonne where they once burned 6, driven by deeper pits, higher strip ratios, and the progressive replacement of efficient electric draglines and conveyors with diesel haul trucks. The industry is entitled to ~$1.9 bn/yr in diesel rebates while using materially more diesel per tonne than ten years ago,</w:t>
      </w:r>
      <w:r>
        <w:t xml:space="preserve"> </w:t>
      </w:r>
      <w:r>
        <w:rPr>
          <w:b/>
          <w:bCs/>
        </w:rPr>
        <w:t xml:space="preserve">even as its production has fallen</w:t>
      </w:r>
      <w:r>
        <w:t xml:space="preserve">.</w:t>
      </w:r>
    </w:p>
    <w:p>
      <w:pPr>
        <w:pStyle w:val="Compact"/>
        <w:numPr>
          <w:ilvl w:val="0"/>
          <w:numId w:val="1007"/>
        </w:numPr>
      </w:pPr>
      <w:r>
        <w:rPr>
          <w:b/>
          <w:bCs/>
        </w:rPr>
        <w:t xml:space="preserve">Iron ore output is up 42%, and intensity has risen only 7%.</w:t>
      </w:r>
      <w:r>
        <w:t xml:space="preserve"> </w:t>
      </w:r>
      <w:r>
        <w:t xml:space="preserve">Iron ore’s diesel growth is output-driven, not efficiency-driven. Pilbara autonomous haulage and shallow, high-grade pits have broadly contained intensity. This is the scaled benchmark that shows what coal mining’s intensity growth could have been absent the rebate.</w:t>
      </w:r>
    </w:p>
    <w:p>
      <w:pPr>
        <w:pStyle w:val="FirstParagraph"/>
      </w:pPr>
      <w:r>
        <w:t xml:space="preserve">For Bowen: the coal sub-sector is the cleanest case against the FTCS. A policy framework that signs up to 62–70% emissions cuts by 2035 is writing a $1.9 bn/yr cheque to an industry whose production is flat, whose emissions-per-tonne have risen 50%, and whose rebate is the single biggest structural barrier to electrification.</w:t>
      </w:r>
    </w:p>
    <w:p>
      <w:pPr>
        <w:pStyle w:val="BodyText"/>
      </w:pPr>
      <w:r>
        <w:t xml:space="preserve">Sources: AES Table F (ANZSIC rows 121 coal, 217 Other Mining, 169 Oil &amp; Gas — AUS and WA sheets); OCE REQ Dec 2025 historical data (Table 24(1) row 28 saleable coal; Table 28 rows 11, 15 iron ore). Local scripts:</w:t>
      </w:r>
      <w:r>
        <w:t xml:space="preserve"> </w:t>
      </w:r>
      <w:r>
        <w:rPr>
          <w:rStyle w:val="VerbatimChar"/>
        </w:rPr>
        <w:t xml:space="preserve">/snakeplay/Transport/code/diesel_by_sector_timeseries.py</w:t>
      </w:r>
      <w:r>
        <w:t xml:space="preserve">.</w:t>
      </w:r>
    </w:p>
    <w:bookmarkEnd w:id="36"/>
    <w:bookmarkEnd w:id="37"/>
    <w:bookmarkStart w:id="42" w:name="X26e1f2c7f3062d2c7c30f8c7b7e332352b94ab0"/>
    <w:p>
      <w:pPr>
        <w:pStyle w:val="Heading3"/>
      </w:pPr>
      <w:r>
        <w:t xml:space="preserve">3c. Home battery subsidy — Cheaper Home Batteries Program</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Metric</w:t>
            </w:r>
          </w:p>
        </w:tc>
        <w:tc>
          <w:tcPr/>
          <w:p>
            <w:pPr>
              <w:pStyle w:val="Compact"/>
            </w:pPr>
            <w:r>
              <w:t xml:space="preserve">Estimate</w:t>
            </w:r>
          </w:p>
        </w:tc>
      </w:tr>
      <w:tr>
        <w:tc>
          <w:tcPr/>
          <w:p>
            <w:pPr>
              <w:pStyle w:val="Compact"/>
            </w:pPr>
            <w:r>
              <w:t xml:space="preserve">Original program budget (2025 MYEFO), 4 years</w:t>
            </w:r>
          </w:p>
        </w:tc>
        <w:tc>
          <w:tcPr/>
          <w:p>
            <w:pPr>
              <w:pStyle w:val="Compact"/>
            </w:pPr>
            <w:r>
              <w:rPr>
                <w:b/>
                <w:bCs/>
              </w:rPr>
              <w:t xml:space="preserve">$2.3 bn</w:t>
            </w:r>
          </w:p>
        </w:tc>
      </w:tr>
      <w:tr>
        <w:tc>
          <w:tcPr/>
          <w:p>
            <w:pPr>
              <w:pStyle w:val="Compact"/>
            </w:pPr>
            <w:r>
              <w:t xml:space="preserve">Expanded budget, announced 13 Dec 2025, 4 years</w:t>
            </w:r>
          </w:p>
        </w:tc>
        <w:tc>
          <w:tcPr/>
          <w:p>
            <w:pPr>
              <w:pStyle w:val="Compact"/>
            </w:pPr>
            <w:r>
              <w:rPr>
                <w:b/>
                <w:bCs/>
              </w:rPr>
              <w:t xml:space="preserve">$7.2 bn</w:t>
            </w:r>
            <w:r>
              <w:t xml:space="preserve"> </w:t>
            </w:r>
            <w:r>
              <w:t xml:space="preserve">(≈3.1× original)</w:t>
            </w:r>
          </w:p>
        </w:tc>
      </w:tr>
      <w:tr>
        <w:tc>
          <w:tcPr/>
          <w:p>
            <w:pPr>
              <w:pStyle w:val="Compact"/>
            </w:pPr>
            <w:r>
              <w:t xml:space="preserve">Launch date</w:t>
            </w:r>
          </w:p>
        </w:tc>
        <w:tc>
          <w:tcPr/>
          <w:p>
            <w:pPr>
              <w:pStyle w:val="Compact"/>
            </w:pPr>
            <w:r>
              <w:t xml:space="preserve">1 July 2025</w:t>
            </w:r>
          </w:p>
        </w:tc>
      </w:tr>
      <w:tr>
        <w:tc>
          <w:tcPr/>
          <w:p>
            <w:pPr>
              <w:pStyle w:val="Compact"/>
            </w:pPr>
            <w:r>
              <w:t xml:space="preserve">Uptake first 5 months</w:t>
            </w:r>
          </w:p>
        </w:tc>
        <w:tc>
          <w:tcPr/>
          <w:p>
            <w:pPr>
              <w:pStyle w:val="Compact"/>
            </w:pPr>
            <w:r>
              <w:rPr>
                <w:b/>
                <w:bCs/>
              </w:rPr>
              <w:t xml:space="preserve">&gt;160,000 batteries</w:t>
            </w:r>
            <w:r>
              <w:t xml:space="preserve">, &gt;3.6 GWh of storage capacity</w:t>
            </w:r>
          </w:p>
        </w:tc>
      </w:tr>
      <w:tr>
        <w:tc>
          <w:tcPr/>
          <w:p>
            <w:pPr>
              <w:pStyle w:val="Compact"/>
            </w:pPr>
            <w:r>
              <w:t xml:space="preserve">Rebate, at launch</w:t>
            </w:r>
          </w:p>
        </w:tc>
        <w:tc>
          <w:tcPr/>
          <w:p>
            <w:pPr>
              <w:pStyle w:val="Compact"/>
            </w:pPr>
            <w:r>
              <w:t xml:space="preserve">$372/kWh gross, ~$335/kWh net of admin fees (~30% of system cost)</w:t>
            </w:r>
          </w:p>
        </w:tc>
      </w:tr>
      <w:tr>
        <w:tc>
          <w:tcPr/>
          <w:p>
            <w:pPr>
              <w:pStyle w:val="Compact"/>
            </w:pPr>
            <w:r>
              <w:t xml:space="preserve">Eligible system size</w:t>
            </w:r>
          </w:p>
        </w:tc>
        <w:tc>
          <w:tcPr/>
          <w:p>
            <w:pPr>
              <w:pStyle w:val="Compact"/>
            </w:pPr>
            <w:r>
              <w:t xml:space="preserve">5–100 kWh usable</w:t>
            </w:r>
          </w:p>
        </w:tc>
      </w:tr>
      <w:tr>
        <w:tc>
          <w:tcPr/>
          <w:p>
            <w:pPr>
              <w:pStyle w:val="Compact"/>
            </w:pPr>
            <w:r>
              <w:t xml:space="preserve">Pricing structure change from 1 May 2026</w:t>
            </w:r>
          </w:p>
        </w:tc>
        <w:tc>
          <w:tcPr/>
          <w:p>
            <w:pPr>
              <w:pStyle w:val="Compact"/>
            </w:pPr>
            <w:r>
              <w:t xml:space="preserve">Tiered per-kWh discount (replaces flat rate); declines every six months instead of annually</w:t>
            </w:r>
          </w:p>
        </w:tc>
      </w:tr>
    </w:tbl>
    <w:p>
      <w:pPr>
        <w:pStyle w:val="BodyText"/>
      </w:pPr>
      <w:r>
        <w:rPr>
          <w:b/>
          <w:bCs/>
        </w:rPr>
        <w:t xml:space="preserve">Key analytical points:</w:t>
      </w:r>
      <w:r>
        <w:t xml:space="preserve"> </w:t>
      </w:r>
      <w:r>
        <w:t xml:space="preserve">1.</w:t>
      </w:r>
      <w:r>
        <w:t xml:space="preserve"> </w:t>
      </w:r>
      <w:r>
        <w:rPr>
          <w:b/>
          <w:bCs/>
        </w:rPr>
        <w:t xml:space="preserve">Demand has massively overshot forecasts.</w:t>
      </w:r>
      <w:r>
        <w:t xml:space="preserve"> </w:t>
      </w:r>
      <w:r>
        <w:t xml:space="preserve">A 3× cost blow-out within six months suggests Treasury under-costed the deadweight loss — households that would have installed batteries anyway, now with a subsidy.</w:t>
      </w:r>
      <w:r>
        <w:t xml:space="preserve"> </w:t>
      </w:r>
      <w:r>
        <w:t xml:space="preserve">2. Cumulative fiscal impact of CHBP over 4 years (~$7.2 bn) is</w:t>
      </w:r>
      <w:r>
        <w:t xml:space="preserve"> </w:t>
      </w:r>
      <w:r>
        <w:rPr>
          <w:b/>
          <w:bCs/>
        </w:rPr>
        <w:t xml:space="preserve">roughly 1.5 years of the mining-sector FTCS alone</w:t>
      </w:r>
      <w:r>
        <w:t xml:space="preserve"> </w:t>
      </w:r>
      <w:r>
        <w:t xml:space="preserve">(~$4.8 bn/yr). The juxtaposition is stark.</w:t>
      </w:r>
      <w:r>
        <w:t xml:space="preserve"> </w:t>
      </w:r>
      <w:r>
        <w:t xml:space="preserve">3. The program has genuine distributional merit vs the EV FBT exemption — it is accessible regardless of salary-sacrifice status — but is still skewed toward households that already have rooftop solar.</w:t>
      </w:r>
      <w:r>
        <w:t xml:space="preserve"> </w:t>
      </w:r>
      <w:r>
        <w:t xml:space="preserve">4. The GWh deployed via CHBP (~3.6 GWh in 5 months) is similar in scale to grid-scale battery additions over the whole of 2025 (~6 GWh). Distributed storage is arriving faster than modelling assumed.</w:t>
      </w:r>
    </w:p>
    <w:p>
      <w:pPr>
        <w:pStyle w:val="BodyText"/>
      </w:pPr>
      <w:r>
        <w:t xml:space="preserve">Sources:</w:t>
      </w:r>
      <w:r>
        <w:t xml:space="preserve"> </w:t>
      </w:r>
      <w:hyperlink r:id="rId38">
        <w:r>
          <w:rPr>
            <w:rStyle w:val="Hyperlink"/>
          </w:rPr>
          <w:t xml:space="preserve">energy.gov.au — CHBP</w:t>
        </w:r>
      </w:hyperlink>
      <w:r>
        <w:t xml:space="preserve">;</w:t>
      </w:r>
      <w:r>
        <w:t xml:space="preserve"> </w:t>
      </w:r>
      <w:hyperlink r:id="rId39">
        <w:r>
          <w:rPr>
            <w:rStyle w:val="Hyperlink"/>
          </w:rPr>
          <w:t xml:space="preserve">Clean Energy Regulator</w:t>
        </w:r>
      </w:hyperlink>
      <w:r>
        <w:t xml:space="preserve">;</w:t>
      </w:r>
      <w:r>
        <w:t xml:space="preserve"> </w:t>
      </w:r>
      <w:hyperlink r:id="rId40">
        <w:r>
          <w:rPr>
            <w:rStyle w:val="Hyperlink"/>
          </w:rPr>
          <w:t xml:space="preserve">ESS News — $3.3 bn top-up</w:t>
        </w:r>
      </w:hyperlink>
      <w:r>
        <w:t xml:space="preserve">;</w:t>
      </w:r>
      <w:r>
        <w:t xml:space="preserve"> </w:t>
      </w:r>
      <w:hyperlink r:id="rId41">
        <w:r>
          <w:rPr>
            <w:rStyle w:val="Hyperlink"/>
          </w:rPr>
          <w:t xml:space="preserve">SolarQuotes federal rebate guide</w:t>
        </w:r>
      </w:hyperlink>
      <w:r>
        <w:t xml:space="preserve">.</w:t>
      </w:r>
    </w:p>
    <w:bookmarkEnd w:id="42"/>
    <w:bookmarkEnd w:id="43"/>
    <w:bookmarkStart w:id="44" w:name="suggested-interview-questions"/>
    <w:p>
      <w:pPr>
        <w:pStyle w:val="Heading2"/>
      </w:pPr>
      <w:r>
        <w:t xml:space="preserve">4. Suggested interview questions</w:t>
      </w:r>
    </w:p>
    <w:p>
      <w:pPr>
        <w:pStyle w:val="Compact"/>
        <w:numPr>
          <w:ilvl w:val="0"/>
          <w:numId w:val="1008"/>
        </w:numPr>
      </w:pPr>
      <w:r>
        <w:rPr>
          <w:b/>
          <w:bCs/>
        </w:rPr>
        <w:t xml:space="preserve">On Safeguard.</w:t>
      </w:r>
      <w:r>
        <w:t xml:space="preserve"> </w:t>
      </w:r>
      <w:r>
        <w:t xml:space="preserve">Fossil-fuel facilities earned 74% of Safeguard Mechanism Credits issued in the first post-reform year. Is that a feature or a bug? Would you tighten offset arrangements in the 2026-27 review?</w:t>
      </w:r>
    </w:p>
    <w:p>
      <w:pPr>
        <w:pStyle w:val="Compact"/>
        <w:numPr>
          <w:ilvl w:val="0"/>
          <w:numId w:val="1008"/>
        </w:numPr>
      </w:pPr>
      <w:r>
        <w:rPr>
          <w:b/>
          <w:bCs/>
        </w:rPr>
        <w:t xml:space="preserve">On the 2035 decline rate.</w:t>
      </w:r>
      <w:r>
        <w:t xml:space="preserve"> </w:t>
      </w:r>
      <w:r>
        <w:t xml:space="preserve">The implicit post-2030 Safeguard decline rate is 3.285%, but meeting the bottom of the 62–70% NDC needs ~4.82%. When will you close that gap?</w:t>
      </w:r>
    </w:p>
    <w:p>
      <w:pPr>
        <w:pStyle w:val="Compact"/>
        <w:numPr>
          <w:ilvl w:val="0"/>
          <w:numId w:val="1008"/>
        </w:numPr>
      </w:pPr>
      <w:r>
        <w:rPr>
          <w:b/>
          <w:bCs/>
        </w:rPr>
        <w:t xml:space="preserve">On EV policy.</w:t>
      </w:r>
      <w:r>
        <w:t xml:space="preserve"> </w:t>
      </w:r>
      <w:r>
        <w:t xml:space="preserve">Treasury’s review is asking whether the FBT exemption is cost-effective. The international evidence says public charging infrastructure delivers 4–7× more EV-share uplift per dollar. Will you rebalance spending away from FBT and toward charging before 2028-29, when the exemption hits $2.8 bn/yr?</w:t>
      </w:r>
    </w:p>
    <w:p>
      <w:pPr>
        <w:pStyle w:val="Compact"/>
        <w:numPr>
          <w:ilvl w:val="0"/>
          <w:numId w:val="1008"/>
        </w:numPr>
      </w:pPr>
      <w:r>
        <w:rPr>
          <w:b/>
          <w:bCs/>
        </w:rPr>
        <w:t xml:space="preserve">On the diesel rebate.</w:t>
      </w:r>
      <w:r>
        <w:t xml:space="preserve"> </w:t>
      </w:r>
      <w:r>
        <w:t xml:space="preserve">The mining industry receives ~$4.8 bn/yr in fuel tax credits. The whole Cheaper Home Batteries Program is ~$1.8 bn/yr. Is this allocation of taxpayer money consistent with the 2035 target?</w:t>
      </w:r>
    </w:p>
    <w:p>
      <w:pPr>
        <w:pStyle w:val="Compact"/>
        <w:numPr>
          <w:ilvl w:val="0"/>
          <w:numId w:val="1008"/>
        </w:numPr>
      </w:pPr>
      <w:r>
        <w:rPr>
          <w:b/>
          <w:bCs/>
        </w:rPr>
        <w:t xml:space="preserve">On CHBP blow-out.</w:t>
      </w:r>
      <w:r>
        <w:t xml:space="preserve"> </w:t>
      </w:r>
      <w:r>
        <w:t xml:space="preserve">The $2.3 bn program became $7.2 bn in under six months. Is that evidence of success, or of poor pricing? How will the May 2026 tiered structure protect the budget without crashing demand?</w:t>
      </w:r>
    </w:p>
    <w:p>
      <w:pPr>
        <w:pStyle w:val="Compact"/>
        <w:numPr>
          <w:ilvl w:val="0"/>
          <w:numId w:val="1008"/>
        </w:numPr>
      </w:pPr>
      <w:r>
        <w:rPr>
          <w:b/>
          <w:bCs/>
        </w:rPr>
        <w:t xml:space="preserve">On 90% renewables.</w:t>
      </w:r>
      <w:r>
        <w:t xml:space="preserve"> </w:t>
      </w:r>
      <w:r>
        <w:t xml:space="preserve">The CCA advised a 90% renewable share. You’ve chosen not to adopt it. What do you know that the CCA doesn’t?</w:t>
      </w:r>
    </w:p>
    <w:p>
      <w:pPr>
        <w:pStyle w:val="Compact"/>
        <w:numPr>
          <w:ilvl w:val="0"/>
          <w:numId w:val="1008"/>
        </w:numPr>
      </w:pPr>
      <w:r>
        <w:rPr>
          <w:b/>
          <w:bCs/>
        </w:rPr>
        <w:t xml:space="preserve">On LNG expansion.</w:t>
      </w:r>
      <w:r>
        <w:t xml:space="preserve"> </w:t>
      </w:r>
      <w:r>
        <w:t xml:space="preserve">Pluto, Barossa and Browse will produce ~69% of the emissions from new Safeguard facilities to 2030. How is approving them consistent with a 62–70% NDC?</w:t>
      </w:r>
    </w:p>
    <w:p>
      <w:pPr>
        <w:pStyle w:val="Compact"/>
        <w:numPr>
          <w:ilvl w:val="0"/>
          <w:numId w:val="1008"/>
        </w:numPr>
      </w:pPr>
      <w:r>
        <w:rPr>
          <w:b/>
          <w:bCs/>
        </w:rPr>
        <w:t xml:space="preserve">On supply-side mandates.</w:t>
      </w:r>
      <w:r>
        <w:t xml:space="preserve"> </w:t>
      </w:r>
      <w:r>
        <w:t xml:space="preserve">China’s dual-credit, the EU’s CO₂ standards, California’s ZEV mandate — these are what drove their EV markets. Why no binding Australian vehicle-efficiency standard with teeth?</w:t>
      </w:r>
    </w:p>
    <w:bookmarkEnd w:id="44"/>
    <w:bookmarkStart w:id="45" w:name="summary-framing"/>
    <w:p>
      <w:pPr>
        <w:pStyle w:val="Heading2"/>
      </w:pPr>
      <w:r>
        <w:t xml:space="preserve">5. Summary framing</w:t>
      </w:r>
    </w:p>
    <w:p>
      <w:pPr>
        <w:pStyle w:val="FirstParagraph"/>
      </w:pPr>
      <w:r>
        <w:t xml:space="preserve">Bowen’s headline numbers (7 GW/yr additions, ~50% renewable Q4 2025, 2.2% emissions drop) are real and materially better than the Coalition decade. The analytical critique is not about direction — it is that</w:t>
      </w:r>
      <w:r>
        <w:t xml:space="preserve"> </w:t>
      </w:r>
      <w:r>
        <w:rPr>
          <w:b/>
          <w:bCs/>
        </w:rPr>
        <w:t xml:space="preserve">the policy mix on three fronts (Safeguard, EV, diesel) still transfers large sums to high-emitting or high-income beneficiaries</w:t>
      </w:r>
      <w:r>
        <w:t xml:space="preserve"> </w:t>
      </w:r>
      <w:r>
        <w:t xml:space="preserve">while under-investing in the levers that actually shift volumes (charging infrastructure, supply mandates, fuel-tax-credit reform, tighter Safeguard baselines). The 2035 NDC codifies this as a structural problem: the decline rate implied by current settings is about two-thirds of what the target requires.</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australiainstitute.org.au/post/it-is-time-to-abolish-the-expensive-fuel-tax-credit-that-incentivises-fossil-fuel-use/" TargetMode="External" /><Relationship Type="http://schemas.openxmlformats.org/officeDocument/2006/relationships/hyperlink" Id="rId39" Target="https://cer.gov.au/batteries" TargetMode="External" /><Relationship Type="http://schemas.openxmlformats.org/officeDocument/2006/relationships/hyperlink" Id="rId31" Target="https://hudsonfinancialplanning.com.au/resources/education-reports/ev-fbt-exemption-australia-last-chance-may-budget/" TargetMode="External" /><Relationship Type="http://schemas.openxmlformats.org/officeDocument/2006/relationships/hyperlink" Id="rId34" Target="https://ieefa.org/resources/minings-costly-diesel-addiction-must-be-budget-priority" TargetMode="External" /><Relationship Type="http://schemas.openxmlformats.org/officeDocument/2006/relationships/hyperlink" Id="rId24" Target="https://itkservices3.com/posts/ev_policy_map" TargetMode="External" /><Relationship Type="http://schemas.openxmlformats.org/officeDocument/2006/relationships/hyperlink" Id="rId22" Target="https://itkservices3.com/posts/safeguards%20%20review.html" TargetMode="External" /><Relationship Type="http://schemas.openxmlformats.org/officeDocument/2006/relationships/hyperlink" Id="rId30" Target="https://treasury.gov.au/review/electric-car-discount" TargetMode="External" /><Relationship Type="http://schemas.openxmlformats.org/officeDocument/2006/relationships/hyperlink" Id="rId29" Target="https://www.ato.gov.au/businesses-and-organisations/hiring-and-paying-your-workers/fringe-benefits-tax/types-of-fringe-benefits/fbt-on-cars-other-vehicles-parking-and-tolls/electric-cars-exemption" TargetMode="External" /><Relationship Type="http://schemas.openxmlformats.org/officeDocument/2006/relationships/hyperlink" Id="rId26" Target="https://www.climatecouncil.org.au/resources/australias-2035-climate-target-is-one-of-the-most-critical-decisions-were-making/" TargetMode="External" /><Relationship Type="http://schemas.openxmlformats.org/officeDocument/2006/relationships/hyperlink" Id="rId38" Target="https://www.energy.gov.au/rebates/cheaper-home-batteries-program" TargetMode="External" /><Relationship Type="http://schemas.openxmlformats.org/officeDocument/2006/relationships/hyperlink" Id="rId40" Target="https://www.ess-news.com/2025/12/15/australia-commits-extra-3-3-billion-to-home-battery-subsidy/" TargetMode="External" /><Relationship Type="http://schemas.openxmlformats.org/officeDocument/2006/relationships/hyperlink" Id="rId35" Target="https://www.pbo.gov.au/sites/default/files/2023-03/Fuel%20Taxation%20in%20Australia%20PDF.pdf" TargetMode="External" /><Relationship Type="http://schemas.openxmlformats.org/officeDocument/2006/relationships/hyperlink" Id="rId20" Target="https://www.pv-magazine-australia.com/2026/01/07/bowen-says-renewables-transition-on-track-after-7-gw-added-to-grid-in-2025/" TargetMode="External" /><Relationship Type="http://schemas.openxmlformats.org/officeDocument/2006/relationships/hyperlink" Id="rId41" Target="https://www.solarquotes.com.au/battery-storage/federal-rebate/" TargetMode="External" /></Relationships>
</file>

<file path=word/_rels/footnotes.xml.rels><?xml version="1.0" encoding="UTF-8"?><Relationships xmlns="http://schemas.openxmlformats.org/package/2006/relationships"><Relationship Type="http://schemas.openxmlformats.org/officeDocument/2006/relationships/hyperlink" Id="rId33" Target="https://australiainstitute.org.au/post/it-is-time-to-abolish-the-expensive-fuel-tax-credit-that-incentivises-fossil-fuel-use/" TargetMode="External" /><Relationship Type="http://schemas.openxmlformats.org/officeDocument/2006/relationships/hyperlink" Id="rId39" Target="https://cer.gov.au/batteries" TargetMode="External" /><Relationship Type="http://schemas.openxmlformats.org/officeDocument/2006/relationships/hyperlink" Id="rId31" Target="https://hudsonfinancialplanning.com.au/resources/education-reports/ev-fbt-exemption-australia-last-chance-may-budget/" TargetMode="External" /><Relationship Type="http://schemas.openxmlformats.org/officeDocument/2006/relationships/hyperlink" Id="rId34" Target="https://ieefa.org/resources/minings-costly-diesel-addiction-must-be-budget-priority" TargetMode="External" /><Relationship Type="http://schemas.openxmlformats.org/officeDocument/2006/relationships/hyperlink" Id="rId24" Target="https://itkservices3.com/posts/ev_policy_map" TargetMode="External" /><Relationship Type="http://schemas.openxmlformats.org/officeDocument/2006/relationships/hyperlink" Id="rId22" Target="https://itkservices3.com/posts/safeguards%20%20review.html" TargetMode="External" /><Relationship Type="http://schemas.openxmlformats.org/officeDocument/2006/relationships/hyperlink" Id="rId30" Target="https://treasury.gov.au/review/electric-car-discount" TargetMode="External" /><Relationship Type="http://schemas.openxmlformats.org/officeDocument/2006/relationships/hyperlink" Id="rId29" Target="https://www.ato.gov.au/businesses-and-organisations/hiring-and-paying-your-workers/fringe-benefits-tax/types-of-fringe-benefits/fbt-on-cars-other-vehicles-parking-and-tolls/electric-cars-exemption" TargetMode="External" /><Relationship Type="http://schemas.openxmlformats.org/officeDocument/2006/relationships/hyperlink" Id="rId26" Target="https://www.climatecouncil.org.au/resources/australias-2035-climate-target-is-one-of-the-most-critical-decisions-were-making/" TargetMode="External" /><Relationship Type="http://schemas.openxmlformats.org/officeDocument/2006/relationships/hyperlink" Id="rId38" Target="https://www.energy.gov.au/rebates/cheaper-home-batteries-program" TargetMode="External" /><Relationship Type="http://schemas.openxmlformats.org/officeDocument/2006/relationships/hyperlink" Id="rId40" Target="https://www.ess-news.com/2025/12/15/australia-commits-extra-3-3-billion-to-home-battery-subsidy/" TargetMode="External" /><Relationship Type="http://schemas.openxmlformats.org/officeDocument/2006/relationships/hyperlink" Id="rId35" Target="https://www.pbo.gov.au/sites/default/files/2023-03/Fuel%20Taxation%20in%20Australia%20PDF.pdf" TargetMode="External" /><Relationship Type="http://schemas.openxmlformats.org/officeDocument/2006/relationships/hyperlink" Id="rId20" Target="https://www.pv-magazine-australia.com/2026/01/07/bowen-says-renewables-transition-on-track-after-7-gw-added-to-grid-in-2025/" TargetMode="External" /><Relationship Type="http://schemas.openxmlformats.org/officeDocument/2006/relationships/hyperlink" Id="rId41" Target="https://www.solarquotes.com.au/battery-storage/federal-reb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2026-04-20T21:18:21Z</dcterms:created>
  <dcterms:modified xsi:type="dcterms:W3CDTF">2026-04-20T21:18:21Z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