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  <Override PartName="/word/media/rId57.png" ContentType="image/png"/>
  <Override PartName="/word/media/rId35.png" ContentType="image/png"/>
  <Override PartName="/word/media/rId64.png" ContentType="image/png"/>
  <Override PartName="/word/media/rId42.png" ContentType="image/png"/>
  <Override PartName="/word/media/rId52.png" ContentType="image/png"/>
  <Override PartName="/word/media/rId4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El Niño 2026: what the evidence says, and what it means for Australia</w:t>
      </w:r>
    </w:p>
    <w:p>
      <w:pPr>
        <w:pStyle w:val="Author"/>
      </w:pPr>
      <w:r>
        <w:t xml:space="preserve">ITK - Claude assisted research</w:t>
      </w:r>
    </w:p>
    <w:p>
      <w:pPr>
        <w:pStyle w:val="Date"/>
      </w:pPr>
      <w:r>
        <w:t xml:space="preserve">2026-08-03</w:t>
      </w:r>
    </w:p>
    <w:p>
      <w:pPr>
        <w:pStyle w:val="FirstParagraph"/>
      </w:pPr>
      <w:r>
        <w:rPr>
          <w:i/>
          <w:iCs/>
        </w:rPr>
        <w:t xml:space="preserve">Background research note. Effort tier: T2 (briefing). Claim ledger at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el_nino_ledger.md</w:t>
      </w:r>
      <w:r>
        <w:rPr>
          <w:i/>
          <w:iCs/>
        </w:rPr>
        <w:t xml:space="preserve">. Data and analysis scripts described in Section 10.</w:t>
      </w:r>
    </w:p>
    <w:p>
      <w:r>
        <w:pict>
          <v:rect style="width:0;height:1.5pt" o:hralign="center" o:hrstd="t" o:hr="t"/>
        </w:pict>
      </w:r>
    </w:p>
    <w:bookmarkStart w:id="20" w:name="summary-brief"/>
    <w:p>
      <w:pPr>
        <w:pStyle w:val="Heading1"/>
      </w:pPr>
      <w:r>
        <w:t xml:space="preserve">Summary brief</w:t>
      </w:r>
    </w:p>
    <w:p>
      <w:pPr>
        <w:pStyle w:val="FirstParagraph"/>
      </w:pPr>
      <w:r>
        <w:rPr>
          <w:b/>
          <w:bCs/>
        </w:rPr>
        <w:t xml:space="preserve">Bottom line.</w:t>
      </w:r>
      <w:r>
        <w:t xml:space="preserve"> </w:t>
      </w:r>
      <w:r>
        <w:t xml:space="preserve">An El Niño is not a forecast for later this year. It is already</w:t>
      </w:r>
      <w:r>
        <w:t xml:space="preserve"> </w:t>
      </w:r>
      <w:r>
        <w:t xml:space="preserve">here, it is strengthening quickly, and the international agencies now put the</w:t>
      </w:r>
      <w:r>
        <w:t xml:space="preserve"> </w:t>
      </w:r>
      <w:r>
        <w:t xml:space="preserve">odds of a very strong event at the end of 2026 at around four in five. What</w:t>
      </w:r>
      <w:r>
        <w:t xml:space="preserve"> </w:t>
      </w:r>
      <w:r>
        <w:t xml:space="preserve">remains uncertain is not the Pacific — it is how much of that Pacific signal</w:t>
      </w:r>
      <w:r>
        <w:t xml:space="preserve"> </w:t>
      </w:r>
      <w:r>
        <w:t xml:space="preserve">reaches Australia, and where. On the historical record the answer is: a great</w:t>
      </w:r>
      <w:r>
        <w:t xml:space="preserve"> </w:t>
      </w:r>
      <w:r>
        <w:t xml:space="preserve">deal in Queensland, the Northern Territory and inland New South Wales; much less</w:t>
      </w:r>
      <w:r>
        <w:t xml:space="preserve"> </w:t>
      </w:r>
      <w:r>
        <w:t xml:space="preserve">in Tasmania and south-west Western Australia; and in Victoria and the</w:t>
      </w:r>
      <w:r>
        <w:t xml:space="preserve"> </w:t>
      </w:r>
      <w:r>
        <w:t xml:space="preserve">Murray-Darling it depends almost entirely on whether the Indian Ocean joins in.</w:t>
      </w:r>
      <w:r>
        <w:t xml:space="preserve"> </w:t>
      </w:r>
      <w:r>
        <w:t xml:space="preserve">That second question is still open, and it is the one worth watching.</w:t>
      </w:r>
    </w:p>
    <w:p>
      <w:pPr>
        <w:pStyle w:val="BodyText"/>
      </w:pPr>
      <w:r>
        <w:rPr>
          <w:b/>
          <w:bCs/>
        </w:rPr>
        <w:t xml:space="preserve">The eight judgements this note supports: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El Niño is established.</w:t>
      </w:r>
      <w:r>
        <w:t xml:space="preserve"> </w:t>
      </w:r>
      <w:r>
        <w:t xml:space="preserve">The US Climate Prediction Center has carried an</w:t>
      </w:r>
      <w:r>
        <w:t xml:space="preserve"> </w:t>
      </w:r>
      <w:r>
        <w:t xml:space="preserve">El Niño Advisory since its 9 July 2026 discussion; the Bureau of Meteorology</w:t>
      </w:r>
      <w:r>
        <w:t xml:space="preserve"> </w:t>
      </w:r>
      <w:r>
        <w:t xml:space="preserve">states the event</w:t>
      </w:r>
      <w:r>
        <w:t xml:space="preserve"> </w:t>
      </w:r>
      <w:r>
        <w:t xml:space="preserve">“has been underway since mid-June”</w:t>
      </w:r>
      <w:r>
        <w:t xml:space="preserve"> </w:t>
      </w:r>
      <w:r>
        <w:t xml:space="preserve">(Bureau of Meteorology, 2026d; NOAA Climate Prediction Center, 2026a)</w:t>
      </w:r>
      <w:r>
        <w:t xml:space="preserve">. In the week centred on 22 July the Niño 3.4 sea surface</w:t>
      </w:r>
      <w:r>
        <w:t xml:space="preserve"> </w:t>
      </w:r>
      <w:r>
        <w:t xml:space="preserve">temperature anomaly was +2.2 °C on the conventional index</w:t>
      </w:r>
      <w:r>
        <w:t xml:space="preserve"> </w:t>
      </w:r>
      <w:r>
        <w:t xml:space="preserve">(NOAA Climate Prediction Center, 2026d)</w:t>
      </w:r>
      <w:r>
        <w:t xml:space="preserve">.</w:t>
      </w:r>
      <w:r>
        <w:t xml:space="preserve"> </w:t>
      </w:r>
      <w:r>
        <w:rPr>
          <w:i/>
          <w:iCs/>
        </w:rPr>
        <w:t xml:space="preserve">Likelihood: observed. Confidence: high.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It will very probably get stronger.</w:t>
      </w:r>
      <w:r>
        <w:t xml:space="preserve"> </w:t>
      </w:r>
      <w:r>
        <w:t xml:space="preserve">CPC gives an 81% chance of a very</w:t>
      </w:r>
      <w:r>
        <w:t xml:space="preserve"> </w:t>
      </w:r>
      <w:r>
        <w:t xml:space="preserve">strong event in October–December, one that</w:t>
      </w:r>
      <w:r>
        <w:t xml:space="preserve"> </w:t>
      </w:r>
      <w:r>
        <w:t xml:space="preserve">“would rank among the largest El</w:t>
      </w:r>
      <w:r>
        <w:t xml:space="preserve"> </w:t>
      </w:r>
      <w:r>
        <w:t xml:space="preserve">Niño events in the historical record going back to 1950”</w:t>
      </w:r>
      <w:r>
        <w:t xml:space="preserve">, and a 97% chance</w:t>
      </w:r>
      <w:r>
        <w:t xml:space="preserve"> </w:t>
      </w:r>
      <w:r>
        <w:t xml:space="preserve">the event persists into early 2027</w:t>
      </w:r>
      <w:r>
        <w:t xml:space="preserve"> </w:t>
      </w:r>
      <w:r>
        <w:t xml:space="preserve">(NOAA Climate Prediction Center, 2026a)</w:t>
      </w:r>
      <w:r>
        <w:t xml:space="preserve">. The Bureau</w:t>
      </w:r>
      <w:r>
        <w:t xml:space="preserve"> </w:t>
      </w:r>
      <w:r>
        <w:t xml:space="preserve">reports that most models put the peak</w:t>
      </w:r>
      <w:r>
        <w:t xml:space="preserve"> </w:t>
      </w:r>
      <w:r>
        <w:t xml:space="preserve">“among, or above, the highest observed</w:t>
      </w:r>
      <w:r>
        <w:t xml:space="preserve"> </w:t>
      </w:r>
      <w:r>
        <w:t xml:space="preserve">since 1950”</w:t>
      </w:r>
      <w:r>
        <w:t xml:space="preserve"> </w:t>
      </w:r>
      <w:r>
        <w:t xml:space="preserve">(Bureau of Meteorology, 2026d)</w:t>
      </w:r>
      <w:r>
        <w:t xml:space="preserve">.</w:t>
      </w:r>
      <w:r>
        <w:t xml:space="preserve"> </w:t>
      </w:r>
      <w:r>
        <w:rPr>
          <w:i/>
          <w:iCs/>
        </w:rPr>
        <w:t xml:space="preserve">Likelihood: high. Confidence: high — the</w:t>
      </w:r>
      <w:r>
        <w:rPr>
          <w:i/>
          <w:iCs/>
        </w:rPr>
        <w:t xml:space="preserve"> </w:t>
      </w:r>
      <w:r>
        <w:rPr>
          <w:i/>
          <w:iCs/>
        </w:rPr>
        <w:t xml:space="preserve">autumn predictability barrier is behind us and ocean and atmosphere are</w:t>
      </w:r>
      <w:r>
        <w:rPr>
          <w:i/>
          <w:iCs/>
        </w:rPr>
        <w:t xml:space="preserve"> </w:t>
      </w:r>
      <w:r>
        <w:rPr>
          <w:i/>
          <w:iCs/>
        </w:rPr>
        <w:t xml:space="preserve">coupled.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Event strength is a poor guide to Australian rainfall.</w:t>
      </w:r>
      <w:r>
        <w:t xml:space="preserve"> </w:t>
      </w:r>
      <w:r>
        <w:t xml:space="preserve">Across 24 events</w:t>
      </w:r>
      <w:r>
        <w:t xml:space="preserve"> </w:t>
      </w:r>
      <w:r>
        <w:t xml:space="preserve">since 1951 the correlation between spring Niño 3.4 and Australian spring</w:t>
      </w:r>
      <w:r>
        <w:t xml:space="preserve"> </w:t>
      </w:r>
      <w:r>
        <w:t xml:space="preserve">rainfall is −0.04; effectively zero (Section 4.3). The strongest event on</w:t>
      </w:r>
      <w:r>
        <w:t xml:space="preserve"> </w:t>
      </w:r>
      <w:r>
        <w:t xml:space="preserve">record before 2015, 1997–98, delivered close to normal Australian spring</w:t>
      </w:r>
      <w:r>
        <w:t xml:space="preserve"> </w:t>
      </w:r>
      <w:r>
        <w:t xml:space="preserve">rain. Three of the four driest El Niño springs came from weak or moderate</w:t>
      </w:r>
      <w:r>
        <w:t xml:space="preserve"> </w:t>
      </w:r>
      <w:r>
        <w:t xml:space="preserve">events.</w:t>
      </w:r>
      <w:r>
        <w:t xml:space="preserve"> </w:t>
      </w:r>
      <w:r>
        <w:rPr>
          <w:i/>
          <w:iCs/>
        </w:rPr>
        <w:t xml:space="preserve">Confidence: high — the result holds across three separate rainfall</w:t>
      </w:r>
      <w:r>
        <w:rPr>
          <w:i/>
          <w:iCs/>
        </w:rPr>
        <w:t xml:space="preserve"> </w:t>
      </w:r>
      <w:r>
        <w:rPr>
          <w:i/>
          <w:iCs/>
        </w:rPr>
        <w:t xml:space="preserve">measures (national, eastern, Murray-Darling), so it is not an artefact of one</w:t>
      </w:r>
      <w:r>
        <w:rPr>
          <w:i/>
          <w:iCs/>
        </w:rPr>
        <w:t xml:space="preserve"> </w:t>
      </w:r>
      <w:r>
        <w:rPr>
          <w:i/>
          <w:iCs/>
        </w:rPr>
        <w:t xml:space="preserve">metric.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Strength does predict heat.</w:t>
      </w:r>
      <w:r>
        <w:t xml:space="preserve"> </w:t>
      </w:r>
      <w:r>
        <w:t xml:space="preserve">The same correlation against spring daytime</w:t>
      </w:r>
      <w:r>
        <w:t xml:space="preserve"> </w:t>
      </w:r>
      <w:r>
        <w:t xml:space="preserve">temperature is +0.42. Warmth is the reliable part of the El Niño signature;</w:t>
      </w:r>
      <w:r>
        <w:t xml:space="preserve"> </w:t>
      </w:r>
      <w:r>
        <w:t xml:space="preserve">rainfall deficit is the variable part.</w:t>
      </w:r>
      <w:r>
        <w:t xml:space="preserve"> </w:t>
      </w:r>
      <w:r>
        <w:rPr>
          <w:i/>
          <w:iCs/>
        </w:rPr>
        <w:t xml:space="preserve">Confidence: moderate-high.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The impact is strongly regional, and the split is north–east versus</w:t>
      </w:r>
      <w:r>
        <w:rPr>
          <w:b/>
          <w:bCs/>
        </w:rPr>
        <w:t xml:space="preserve"> </w:t>
      </w:r>
      <w:r>
        <w:rPr>
          <w:b/>
          <w:bCs/>
        </w:rPr>
        <w:t xml:space="preserve">south–west rather than a uniform national drying.</w:t>
      </w:r>
      <w:r>
        <w:t xml:space="preserve"> </w:t>
      </w:r>
      <w:r>
        <w:t xml:space="preserve">Averaged over all events,</w:t>
      </w:r>
      <w:r>
        <w:t xml:space="preserve"> </w:t>
      </w:r>
      <w:r>
        <w:t xml:space="preserve">spring rainfall runs at 64% of baseline in the Northern Territory and 65% in</w:t>
      </w:r>
      <w:r>
        <w:t xml:space="preserve"> </w:t>
      </w:r>
      <w:r>
        <w:t xml:space="preserve">Queensland, against 91% in Tasmania and 80% in Western Australia. Queensland</w:t>
      </w:r>
      <w:r>
        <w:t xml:space="preserve"> </w:t>
      </w:r>
      <w:r>
        <w:t xml:space="preserve">is below normal in 92% of events; Tasmania in 75% (Section 5).</w:t>
      </w:r>
      <w:r>
        <w:t xml:space="preserve"> </w:t>
      </w:r>
      <w:r>
        <w:rPr>
          <w:i/>
          <w:iCs/>
        </w:rPr>
        <w:t xml:space="preserve">Confidence:</w:t>
      </w:r>
      <w:r>
        <w:rPr>
          <w:i/>
          <w:iCs/>
        </w:rPr>
        <w:t xml:space="preserve"> </w:t>
      </w:r>
      <w:r>
        <w:rPr>
          <w:i/>
          <w:iCs/>
        </w:rPr>
        <w:t xml:space="preserve">high.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For southern Australia the Indian Ocean Dipole is the swing factor.</w:t>
      </w:r>
      <w:r>
        <w:t xml:space="preserve"> </w:t>
      </w:r>
      <w:r>
        <w:t xml:space="preserve">In</w:t>
      </w:r>
      <w:r>
        <w:t xml:space="preserve"> </w:t>
      </w:r>
      <w:r>
        <w:t xml:space="preserve">El Niño springs that coincided with a positive Indian Ocean Dipole, Victorian</w:t>
      </w:r>
      <w:r>
        <w:t xml:space="preserve"> </w:t>
      </w:r>
      <w:r>
        <w:t xml:space="preserve">spring rainfall averaged 68% of baseline; in El Niño springs without one, 90%</w:t>
      </w:r>
      <w:r>
        <w:t xml:space="preserve"> </w:t>
      </w:r>
      <w:r>
        <w:t xml:space="preserve">— only marginally below normal. South Australia runs 60% against 81%.</w:t>
      </w:r>
      <w:r>
        <w:t xml:space="preserve"> </w:t>
      </w:r>
      <w:r>
        <w:t xml:space="preserve">Queensland shows no gap at all (65% against 65%): there, El Niño alone does</w:t>
      </w:r>
      <w:r>
        <w:t xml:space="preserve"> </w:t>
      </w:r>
      <w:r>
        <w:t xml:space="preserve">the work (Section 3.3). As at 26 July the Dipole Mode Index had just touched</w:t>
      </w:r>
      <w:r>
        <w:t xml:space="preserve"> </w:t>
      </w:r>
      <w:r>
        <w:t xml:space="preserve">the positive threshold at +0.44 °C and models favour a positive event</w:t>
      </w:r>
      <w:r>
        <w:t xml:space="preserve"> </w:t>
      </w:r>
      <w:r>
        <w:t xml:space="preserve">developing through winter and spring</w:t>
      </w:r>
      <w:r>
        <w:t xml:space="preserve"> </w:t>
      </w:r>
      <w:r>
        <w:t xml:space="preserve">(Bureau of Meteorology, 2026d)</w:t>
      </w:r>
      <w:r>
        <w:t xml:space="preserve">.</w:t>
      </w:r>
      <w:r>
        <w:t xml:space="preserve"> </w:t>
      </w:r>
      <w:r>
        <w:rPr>
          <w:i/>
          <w:iCs/>
        </w:rPr>
        <w:t xml:space="preserve">Likelihood of a</w:t>
      </w:r>
      <w:r>
        <w:rPr>
          <w:i/>
          <w:iCs/>
        </w:rPr>
        <w:t xml:space="preserve"> </w:t>
      </w:r>
      <w:r>
        <w:rPr>
          <w:i/>
          <w:iCs/>
        </w:rPr>
        <w:t xml:space="preserve">positive IOD: moderate-high. Confidence: moderate — model skill for the IOD at</w:t>
      </w:r>
      <w:r>
        <w:rPr>
          <w:i/>
          <w:iCs/>
        </w:rPr>
        <w:t xml:space="preserve"> </w:t>
      </w:r>
      <w:r>
        <w:rPr>
          <w:i/>
          <w:iCs/>
        </w:rPr>
        <w:t xml:space="preserve">this lead is worse than for ENSO.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Australia enters this event with a split starting position, and antecedent</w:t>
      </w:r>
      <w:r>
        <w:rPr>
          <w:b/>
          <w:bCs/>
        </w:rPr>
        <w:t xml:space="preserve"> </w:t>
      </w:r>
      <w:r>
        <w:rPr>
          <w:b/>
          <w:bCs/>
        </w:rPr>
        <w:t xml:space="preserve">conditions matter more than the index.</w:t>
      </w:r>
      <w:r>
        <w:t xml:space="preserve"> </w:t>
      </w:r>
      <w:r>
        <w:t xml:space="preserve">Northern New South Wales and southern</w:t>
      </w:r>
      <w:r>
        <w:t xml:space="preserve"> </w:t>
      </w:r>
      <w:r>
        <w:t xml:space="preserve">Queensland were extremely dry to mid-May; southern WA, SA and Victoria had</w:t>
      </w:r>
      <w:r>
        <w:t xml:space="preserve"> </w:t>
      </w:r>
      <w:r>
        <w:t xml:space="preserve">average to very much above average February–April rain</w:t>
      </w:r>
      <w:r>
        <w:t xml:space="preserve"> </w:t>
      </w:r>
      <w:r>
        <w:t xml:space="preserve">(ABARES, 2026)</w:t>
      </w:r>
      <w:r>
        <w:t xml:space="preserve">.</w:t>
      </w:r>
      <w:r>
        <w:t xml:space="preserve"> </w:t>
      </w:r>
      <w:r>
        <w:t xml:space="preserve">ABARES already forecasts winter crop production down 21% nationally, but</w:t>
      </w:r>
      <w:r>
        <w:t xml:space="preserve"> </w:t>
      </w:r>
      <w:r>
        <w:t xml:space="preserve">the damage is concentrated: New South Wales −37%, Queensland −38%, against</w:t>
      </w:r>
      <w:r>
        <w:t xml:space="preserve"> </w:t>
      </w:r>
      <w:r>
        <w:t xml:space="preserve">Victoria −4% and South Australia flat. That forecast was published in June on</w:t>
      </w:r>
      <w:r>
        <w:t xml:space="preserve"> </w:t>
      </w:r>
      <w:r>
        <w:t xml:space="preserve">a May climate outlook and does not incorporate the El Niño now declared.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The heat lands on a warmer baseline than in any previous event.</w:t>
      </w:r>
      <w:r>
        <w:t xml:space="preserve"> </w:t>
      </w:r>
      <w:r>
        <w:t xml:space="preserve">In the</w:t>
      </w:r>
      <w:r>
        <w:t xml:space="preserve"> </w:t>
      </w:r>
      <w:r>
        <w:t xml:space="preserve">five very strong events, New South Wales spring daytime temperatures averaged</w:t>
      </w:r>
      <w:r>
        <w:t xml:space="preserve"> </w:t>
      </w:r>
      <w:r>
        <w:t xml:space="preserve">2.1 °C above the 1961–90 mean. Roughly 1.3 °C of that is the El Niño signal</w:t>
      </w:r>
      <w:r>
        <w:t xml:space="preserve"> </w:t>
      </w:r>
      <w:r>
        <w:t xml:space="preserve">and 0.8 °C is background warming that has accumulated regardless. Fire</w:t>
      </w:r>
      <w:r>
        <w:t xml:space="preserve"> </w:t>
      </w:r>
      <w:r>
        <w:t xml:space="preserve">weather, heat-health and evaporative demand respond to the total, not the</w:t>
      </w:r>
      <w:r>
        <w:t xml:space="preserve"> </w:t>
      </w:r>
      <w:r>
        <w:t xml:space="preserve">anomaly (Section 4.5).</w:t>
      </w:r>
    </w:p>
    <w:p>
      <w:pPr>
        <w:pStyle w:val="FirstParagraph"/>
      </w:pPr>
      <w:r>
        <w:rPr>
          <w:b/>
          <w:bCs/>
        </w:rPr>
        <w:t xml:space="preserve">What would change this assessment.</w:t>
      </w:r>
      <w:r>
        <w:t xml:space="preserve"> </w:t>
      </w:r>
      <w:r>
        <w:t xml:space="preserve">A stall or reversal in Niño 3.4 through</w:t>
      </w:r>
      <w:r>
        <w:t xml:space="preserve"> </w:t>
      </w:r>
      <w:r>
        <w:t xml:space="preserve">August–September; a failure of the Dipole Mode Index to sustain values above</w:t>
      </w:r>
      <w:r>
        <w:t xml:space="preserve"> </w:t>
      </w:r>
      <w:r>
        <w:t xml:space="preserve">+0.4 °C into September; or a persistently positive Southern Annular Mode through</w:t>
      </w:r>
      <w:r>
        <w:t xml:space="preserve"> </w:t>
      </w:r>
      <w:r>
        <w:t xml:space="preserve">spring and summer, which would push moist onshore flow into the eastern seaboard</w:t>
      </w:r>
      <w:r>
        <w:t xml:space="preserve"> </w:t>
      </w:r>
      <w:r>
        <w:t xml:space="preserve">and offset part of the ENSO drying. The first is now unlikely; the second and</w:t>
      </w:r>
      <w:r>
        <w:t xml:space="preserve"> </w:t>
      </w:r>
      <w:r>
        <w:t xml:space="preserve">third are live.</w:t>
      </w:r>
    </w:p>
    <w:p>
      <w:pPr>
        <w:pStyle w:val="BodyText"/>
      </w:pPr>
      <w:r>
        <w:rPr>
          <w:b/>
          <w:bCs/>
        </w:rPr>
        <w:t xml:space="preserve">What this does not support.</w:t>
      </w:r>
      <w:r>
        <w:t xml:space="preserve"> </w:t>
      </w:r>
      <w:r>
        <w:t xml:space="preserve">It does not support treating 2026–27 as a</w:t>
      </w:r>
      <w:r>
        <w:t xml:space="preserve"> </w:t>
      </w:r>
      <w:r>
        <w:t xml:space="preserve">scheduled repeat of 2019–20 or 2002–03. The rainfall outcome is not determined</w:t>
      </w:r>
      <w:r>
        <w:t xml:space="preserve"> </w:t>
      </w:r>
      <w:r>
        <w:t xml:space="preserve">yet, and on the historical record it is only loosely tied to how big the Pacific</w:t>
      </w:r>
      <w:r>
        <w:t xml:space="preserve"> </w:t>
      </w:r>
      <w:r>
        <w:t xml:space="preserve">event becomes.</w:t>
      </w:r>
    </w:p>
    <w:p>
      <w:r>
        <w:pict>
          <v:rect style="width:0;height:1.5pt" o:hralign="center" o:hrstd="t" o:hr="t"/>
        </w:pict>
      </w:r>
    </w:p>
    <w:bookmarkEnd w:id="20"/>
    <w:bookmarkStart w:id="28" w:name="what-is-happening-in-the-pacific"/>
    <w:p>
      <w:pPr>
        <w:pStyle w:val="Heading1"/>
      </w:pPr>
      <w:r>
        <w:t xml:space="preserve">1. What is happening in the Pacific</w:t>
      </w:r>
    </w:p>
    <w:bookmarkStart w:id="25" w:name="the-observations"/>
    <w:p>
      <w:pPr>
        <w:pStyle w:val="Heading2"/>
      </w:pPr>
      <w:r>
        <w:t xml:space="preserve">1.1 The observations</w:t>
      </w:r>
    </w:p>
    <w:p>
      <w:pPr>
        <w:pStyle w:val="FirstParagraph"/>
      </w:pPr>
      <w:r>
        <w:t xml:space="preserve">The tropical Pacific has moved from La Niña-leaning conditions at the start of</w:t>
      </w:r>
      <w:r>
        <w:t xml:space="preserve"> </w:t>
      </w:r>
      <w:r>
        <w:t xml:space="preserve">2026 to a strong El Niño in roughly six months. The Oceanic Niño Index — the</w:t>
      </w:r>
      <w:r>
        <w:t xml:space="preserve"> </w:t>
      </w:r>
      <w:r>
        <w:t xml:space="preserve">three-month running mean used by NOAA to classify events — ran −0.37 °C in</w:t>
      </w:r>
      <w:r>
        <w:t xml:space="preserve"> </w:t>
      </w:r>
      <w:r>
        <w:t xml:space="preserve">December–February, crossed zero in February–April, and reached +0.98 °C by</w:t>
      </w:r>
      <w:r>
        <w:t xml:space="preserve"> </w:t>
      </w:r>
      <w:r>
        <w:t xml:space="preserve">April–June</w:t>
      </w:r>
      <w:r>
        <w:t xml:space="preserve"> </w:t>
      </w:r>
      <w:r>
        <w:t xml:space="preserve">(NOAA Climate Prediction Center, 2026c)</w:t>
      </w:r>
      <w:r>
        <w:t xml:space="preserve">. Weekly values have kept climbing. In the week centred</w:t>
      </w:r>
      <w:r>
        <w:t xml:space="preserve"> </w:t>
      </w:r>
      <w:r>
        <w:t xml:space="preserve">on 22 July 2026 the four Niño regions read</w:t>
      </w:r>
      <w:r>
        <w:t xml:space="preserve"> </w:t>
      </w:r>
      <w:r>
        <w:t xml:space="preserve">(NOAA Climate Prediction Center, 2026d)</w:t>
      </w:r>
      <w:r>
        <w:t xml:space="preserve">:</w:t>
      </w:r>
    </w:p>
    <w:p>
      <w:pPr>
        <w:pStyle w:val="BodyText"/>
      </w:pPr>
      <w:r>
        <w:rPr>
          <w:b/>
          <w:bCs/>
        </w:rPr>
        <w:t xml:space="preserve">Weekly sea surface temperature anomalies, week centred 22 July 2026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Region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Longitude band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Anomaly (°C)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Niño 1+2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90°W–80°W (far eastern Pacific, off Peru)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Niño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150°W–90°W (eastern Pacific)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Niño 3.4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170°W–120°W (central Pacific, the standard index)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Niño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160°E–150°W (western Pacific, nearest Australia)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+1.0</w:t>
            </w:r>
          </w:p>
        </w:tc>
      </w:tr>
    </w:tbl>
    <w:p>
      <w:pPr>
        <w:pStyle w:val="BodyText"/>
      </w:pPr>
      <w:r>
        <w:rPr>
          <w:i/>
          <w:iCs/>
        </w:rPr>
        <w:t xml:space="preserve">Source: NOAA Climate Prediction Center weekly OISST analysis, 1991–2020 base</w:t>
      </w:r>
      <w:r>
        <w:rPr>
          <w:i/>
          <w:iCs/>
        </w:rPr>
        <w:t xml:space="preserve"> </w:t>
      </w:r>
      <w:r>
        <w:rPr>
          <w:i/>
          <w:iCs/>
        </w:rPr>
        <w:t xml:space="preserve">period</w:t>
      </w:r>
      <w:r>
        <w:rPr>
          <w:i/>
          <w:iCs/>
        </w:rPr>
        <w:t xml:space="preserve"> </w:t>
      </w:r>
      <w:r>
        <w:rPr>
          <w:i/>
          <w:iCs/>
        </w:rPr>
        <w:t xml:space="preserve">(NOAA Climate Prediction Center, 2026d)</w:t>
      </w:r>
    </w:p>
    <w:p>
      <w:pPr>
        <w:pStyle w:val="BodyText"/>
      </w:pPr>
      <w:r>
        <w:t xml:space="preserve">The atmosphere has coupled to the ocean, which is what distinguishes a real</w:t>
      </w:r>
      <w:r>
        <w:t xml:space="preserve"> </w:t>
      </w:r>
      <w:r>
        <w:t xml:space="preserve">event from a warm blip. The Bureau’s 30-day Southern Oscillation Index to 26 July</w:t>
      </w:r>
      <w:r>
        <w:t xml:space="preserve"> </w:t>
      </w:r>
      <w:r>
        <w:t xml:space="preserve">was −28.0, deeply negative</w:t>
      </w:r>
      <w:r>
        <w:t xml:space="preserve"> </w:t>
      </w:r>
      <w:r>
        <w:t xml:space="preserve">(Bureau of Meteorology, 2026d)</w:t>
      </w:r>
      <w:r>
        <w:t xml:space="preserve">; CPC describes both the</w:t>
      </w:r>
      <w:r>
        <w:t xml:space="preserve"> </w:t>
      </w:r>
      <w:r>
        <w:t xml:space="preserve">traditional and equatorial Southern Oscillation indices as</w:t>
      </w:r>
      <w:r>
        <w:t xml:space="preserve"> </w:t>
      </w:r>
      <w:r>
        <w:t xml:space="preserve">“significantly</w:t>
      </w:r>
      <w:r>
        <w:t xml:space="preserve"> </w:t>
      </w:r>
      <w:r>
        <w:t xml:space="preserve">negative”</w:t>
      </w:r>
      <w:r>
        <w:t xml:space="preserve">, with trade winds reversed or weakened and convection displaced east</w:t>
      </w:r>
      <w:r>
        <w:t xml:space="preserve"> </w:t>
      </w:r>
      <w:r>
        <w:t xml:space="preserve">toward the Date Line and suppressed over Indonesia</w:t>
      </w:r>
      <w:r>
        <w:t xml:space="preserve"> </w:t>
      </w:r>
      <w:r>
        <w:t xml:space="preserve">(NOAA Climate Prediction Center, 2026a)</w:t>
      </w:r>
      <w:r>
        <w:t xml:space="preserve">. That</w:t>
      </w:r>
      <w:r>
        <w:t xml:space="preserve"> </w:t>
      </w:r>
      <w:r>
        <w:t xml:space="preserve">displacement of tropical convection away from the Maritime Continent is the</w:t>
      </w:r>
      <w:r>
        <w:t xml:space="preserve"> </w:t>
      </w:r>
      <w:r>
        <w:t xml:space="preserve">physical mechanism by which the Pacific reaches Australia: it moves the ascending</w:t>
      </w:r>
      <w:r>
        <w:t xml:space="preserve"> </w:t>
      </w:r>
      <w:r>
        <w:t xml:space="preserve">branch of the Walker circulation thousands of kilometres east, leaving descending,</w:t>
      </w:r>
      <w:r>
        <w:t xml:space="preserve"> </w:t>
      </w:r>
      <w:r>
        <w:t xml:space="preserve">drying air over eastern Australia.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4" w:name="fig-context"/>
          <w:p>
            <w:pPr>
              <w:pStyle w:val="Compact"/>
              <w:jc w:val="center"/>
            </w:pPr>
            <w:r>
              <w:drawing>
                <wp:inline>
                  <wp:extent cx="5334000" cy="2221621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../media/elnino_2026_context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2221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start"/>
              <w:spacing w:before="200"/>
              <w:pStyle w:val="ImageCaption"/>
            </w:pPr>
            <w:r>
              <w:t xml:space="preserve">Figure 1: Left: weekly Niño 3.4 anomaly through 2026 against the four most recent very strong events. Right: the pattern across the Niño regions, showing the eastern-Pacific skew.</w:t>
            </w:r>
          </w:p>
          <w:bookmarkEnd w:id="24"/>
        </w:tc>
      </w:tr>
    </w:tbl>
    <w:bookmarkEnd w:id="25"/>
    <w:bookmarkStart w:id="26" w:name="X281811f068136205574e7e127e8dfa4d695ef18"/>
    <w:p>
      <w:pPr>
        <w:pStyle w:val="Heading2"/>
      </w:pPr>
      <w:r>
        <w:t xml:space="preserve">1.2 Two indices, two numbers, and why they differ</w:t>
      </w:r>
    </w:p>
    <w:p>
      <w:pPr>
        <w:pStyle w:val="FirstParagraph"/>
      </w:pPr>
      <w:r>
        <w:t xml:space="preserve">Readers comparing sources will encounter different values for what looks like the</w:t>
      </w:r>
      <w:r>
        <w:t xml:space="preserve"> </w:t>
      </w:r>
      <w:r>
        <w:t xml:space="preserve">same quantity. The Bureau quotes a</w:t>
      </w:r>
      <w:r>
        <w:t xml:space="preserve"> </w:t>
      </w:r>
      <w:r>
        <w:t xml:space="preserve">“Relative Niño 3.4”</w:t>
      </w:r>
      <w:r>
        <w:t xml:space="preserve"> </w:t>
      </w:r>
      <w:r>
        <w:t xml:space="preserve">of +1.94 °C for the week</w:t>
      </w:r>
      <w:r>
        <w:t xml:space="preserve"> </w:t>
      </w:r>
      <w:r>
        <w:t xml:space="preserve">ending 26 July, against an El Niño threshold of +0.8 °C</w:t>
      </w:r>
      <w:r>
        <w:t xml:space="preserve"> </w:t>
      </w:r>
      <w:r>
        <w:t xml:space="preserve">(Bureau of Meteorology, 2026d)</w:t>
      </w:r>
      <w:r>
        <w:t xml:space="preserve">. CPC’s</w:t>
      </w:r>
      <w:r>
        <w:t xml:space="preserve"> </w:t>
      </w:r>
      <w:r>
        <w:t xml:space="preserve">July discussion quotes a weekly Niño 3.4 of +1.2 °C</w:t>
      </w:r>
      <w:r>
        <w:t xml:space="preserve"> </w:t>
      </w:r>
      <w:r>
        <w:t xml:space="preserve">(NOAA Climate Prediction Center, 2026a)</w:t>
      </w:r>
      <w:r>
        <w:t xml:space="preserve">. The</w:t>
      </w:r>
      <w:r>
        <w:t xml:space="preserve"> </w:t>
      </w:r>
      <w:r>
        <w:t xml:space="preserve">raw weekly file gives +2.2 °C</w:t>
      </w:r>
      <w:r>
        <w:t xml:space="preserve"> </w:t>
      </w:r>
      <w:r>
        <w:t xml:space="preserve">(NOAA Climate Prediction Center, 2026d)</w:t>
      </w:r>
      <w:r>
        <w:t xml:space="preserve">. All three are correct.</w:t>
      </w:r>
    </w:p>
    <w:p>
      <w:pPr>
        <w:pStyle w:val="BodyText"/>
      </w:pPr>
      <w:r>
        <w:t xml:space="preserve">The conventional index measures sea surface temperature against a fixed historical</w:t>
      </w:r>
      <w:r>
        <w:t xml:space="preserve"> </w:t>
      </w:r>
      <w:r>
        <w:t xml:space="preserve">baseline. Because the whole tropical ocean has warmed, that index now includes a</w:t>
      </w:r>
      <w:r>
        <w:t xml:space="preserve"> </w:t>
      </w:r>
      <w:r>
        <w:t xml:space="preserve">background warming component that has nothing to do with ENSO. The</w:t>
      </w:r>
      <w:r>
        <w:t xml:space="preserve"> </w:t>
      </w:r>
      <w:r>
        <w:rPr>
          <w:i/>
          <w:iCs/>
        </w:rPr>
        <w:t xml:space="preserve">relative</w:t>
      </w:r>
      <w:r>
        <w:t xml:space="preserve"> </w:t>
      </w:r>
      <w:r>
        <w:t xml:space="preserve">indices subtract the tropical-mean sea surface temperature (20°N–20°S) first,</w:t>
      </w:r>
      <w:r>
        <w:t xml:space="preserve"> </w:t>
      </w:r>
      <w:r>
        <w:t xml:space="preserve">isolating the east–west gradient. This matters because the atmosphere responds to</w:t>
      </w:r>
      <w:r>
        <w:t xml:space="preserve"> </w:t>
      </w:r>
      <w:r>
        <w:t xml:space="preserve">the gradient, not the absolute temperature: convection goes where the water is</w:t>
      </w:r>
      <w:r>
        <w:t xml:space="preserve"> </w:t>
      </w:r>
      <w:r>
        <w:t xml:space="preserve">warm</w:t>
      </w:r>
      <w:r>
        <w:t xml:space="preserve"> </w:t>
      </w:r>
      <w:r>
        <w:rPr>
          <w:i/>
          <w:iCs/>
        </w:rPr>
        <w:t xml:space="preserve">relative to its surroundings</w:t>
      </w:r>
      <w:r>
        <w:t xml:space="preserve">. Both agencies have moved to relative indices</w:t>
      </w:r>
      <w:r>
        <w:t xml:space="preserve"> </w:t>
      </w:r>
      <w:r>
        <w:t xml:space="preserve">for this reason, and CPC’s discussion text quotes relative values while its</w:t>
      </w:r>
      <w:r>
        <w:t xml:space="preserve"> </w:t>
      </w:r>
      <w:r>
        <w:t xml:space="preserve">long-running weekly data file continues the conventional series.</w:t>
      </w:r>
    </w:p>
    <w:p>
      <w:pPr>
        <w:pStyle w:val="BodyText"/>
      </w:pPr>
      <w:r>
        <w:t xml:space="preserve">For assessing Australian impacts the relative index is the better guide. It is</w:t>
      </w:r>
      <w:r>
        <w:t xml:space="preserve"> </w:t>
      </w:r>
      <w:r>
        <w:t xml:space="preserve">also the more conservative one: +1.94 °C relative is a strong event, but it is</w:t>
      </w:r>
      <w:r>
        <w:t xml:space="preserve"> </w:t>
      </w:r>
      <w:r>
        <w:t xml:space="preserve">not as far outside historical experience as +2.2 °C conventional would suggest.</w:t>
      </w:r>
    </w:p>
    <w:bookmarkEnd w:id="26"/>
    <w:bookmarkStart w:id="27" w:name="Xe5c0d5f1068f06f0261227982f1d9431c4fabf0"/>
    <w:p>
      <w:pPr>
        <w:pStyle w:val="Heading2"/>
      </w:pPr>
      <w:r>
        <w:t xml:space="preserve">1.3 The flavour of this event, and why it may matter</w:t>
      </w:r>
    </w:p>
    <w:p>
      <w:pPr>
        <w:pStyle w:val="FirstParagraph"/>
      </w:pPr>
      <w:r>
        <w:t xml:space="preserve">The right panel of</w:t>
      </w:r>
      <w:r>
        <w:t xml:space="preserve"> </w:t>
      </w:r>
      <w:hyperlink w:anchor="fig-context">
        <w:r>
          <w:rPr>
            <w:rStyle w:val="Hyperlink"/>
          </w:rPr>
          <w:t xml:space="preserve">Figure 1</w:t>
        </w:r>
      </w:hyperlink>
      <w:r>
        <w:t xml:space="preserve"> </w:t>
      </w:r>
      <w:r>
        <w:t xml:space="preserve">shows something that a single headline number</w:t>
      </w:r>
      <w:r>
        <w:t xml:space="preserve"> </w:t>
      </w:r>
      <w:r>
        <w:t xml:space="preserve">hides. The warming is heavily skewed to the eastern Pacific: +3.8 °C off South</w:t>
      </w:r>
      <w:r>
        <w:t xml:space="preserve"> </w:t>
      </w:r>
      <w:r>
        <w:t xml:space="preserve">America against +1.0 °C in the Niño 4 region nearest Australia. This is a</w:t>
      </w:r>
      <w:r>
        <w:t xml:space="preserve"> </w:t>
      </w:r>
      <w:r>
        <w:t xml:space="preserve">canonical</w:t>
      </w:r>
      <w:r>
        <w:t xml:space="preserve"> </w:t>
      </w:r>
      <w:r>
        <w:t xml:space="preserve">“Eastern Pacific”</w:t>
      </w:r>
      <w:r>
        <w:t xml:space="preserve"> </w:t>
      </w:r>
      <w:r>
        <w:t xml:space="preserve">event, in the pattern of 1982–83 and 1997–98, rather</w:t>
      </w:r>
      <w:r>
        <w:t xml:space="preserve"> </w:t>
      </w:r>
      <w:r>
        <w:t xml:space="preserve">than a</w:t>
      </w:r>
      <w:r>
        <w:t xml:space="preserve"> </w:t>
      </w:r>
      <w:r>
        <w:t xml:space="preserve">“Central Pacific”</w:t>
      </w:r>
      <w:r>
        <w:t xml:space="preserve"> </w:t>
      </w:r>
      <w:r>
        <w:t xml:space="preserve">or Modoki event where the warm anomaly sits closer to the</w:t>
      </w:r>
      <w:r>
        <w:t xml:space="preserve"> </w:t>
      </w:r>
      <w:r>
        <w:t xml:space="preserve">Date Line.</w:t>
      </w:r>
    </w:p>
    <w:p>
      <w:pPr>
        <w:pStyle w:val="BodyText"/>
      </w:pPr>
      <w:r>
        <w:t xml:space="preserve">The distinction has a body of literature behind it, and the direction of the</w:t>
      </w:r>
      <w:r>
        <w:t xml:space="preserve"> </w:t>
      </w:r>
      <w:r>
        <w:t xml:space="preserve">finding is counterintuitive for Australia. Because the Australian teleconnection</w:t>
      </w:r>
      <w:r>
        <w:t xml:space="preserve"> </w:t>
      </w:r>
      <w:r>
        <w:t xml:space="preserve">runs through displacement of tropical convection, and because convection responds</w:t>
      </w:r>
      <w:r>
        <w:t xml:space="preserve"> </w:t>
      </w:r>
      <w:r>
        <w:t xml:space="preserve">to warming near the Date Line more efficiently than to warming 8,000 km further</w:t>
      </w:r>
      <w:r>
        <w:t xml:space="preserve"> </w:t>
      </w:r>
      <w:r>
        <w:t xml:space="preserve">east, Central Pacific events have generally produced</w:t>
      </w:r>
      <w:r>
        <w:t xml:space="preserve"> </w:t>
      </w:r>
      <w:r>
        <w:rPr>
          <w:i/>
          <w:iCs/>
        </w:rPr>
        <w:t xml:space="preserve">stronger</w:t>
      </w:r>
      <w:r>
        <w:t xml:space="preserve"> </w:t>
      </w:r>
      <w:r>
        <w:t xml:space="preserve">eastern Australian</w:t>
      </w:r>
      <w:r>
        <w:t xml:space="preserve"> </w:t>
      </w:r>
      <w:r>
        <w:t xml:space="preserve">drying per unit of Niño 3.4 than Eastern Pacific events</w:t>
      </w:r>
      <w:r>
        <w:t xml:space="preserve"> </w:t>
      </w:r>
      <w:r>
        <w:t xml:space="preserve">(Taschetto &amp; England, 2009; Wang &amp; Hendon, 2007)</w:t>
      </w:r>
      <w:r>
        <w:t xml:space="preserve">.</w:t>
      </w:r>
    </w:p>
    <w:p>
      <w:pPr>
        <w:pStyle w:val="BodyText"/>
      </w:pPr>
      <w:r>
        <w:t xml:space="preserve">Our own compositing is consistent with this for winter, though not uniformly.</w:t>
      </w:r>
      <w:r>
        <w:t xml:space="preserve"> </w:t>
      </w:r>
      <w:r>
        <w:t xml:space="preserve">Classifying the 24 events by whether the spring Niño 3 or Niño 4 anomaly was</w:t>
      </w:r>
      <w:r>
        <w:t xml:space="preserve"> </w:t>
      </w:r>
      <w:r>
        <w:t xml:space="preserve">larger gives 17 Eastern Pacific and 7 Central Pacific events. In winter, Central</w:t>
      </w:r>
      <w:r>
        <w:t xml:space="preserve"> </w:t>
      </w:r>
      <w:r>
        <w:t xml:space="preserve">Pacific events were markedly drier in Queensland (54% of baseline against 68%) and</w:t>
      </w:r>
      <w:r>
        <w:t xml:space="preserve"> </w:t>
      </w:r>
      <w:r>
        <w:t xml:space="preserve">New South Wales (66% against 88%). In spring the difference largely washes out</w:t>
      </w:r>
      <w:r>
        <w:t xml:space="preserve"> </w:t>
      </w:r>
      <w:r>
        <w:t xml:space="preserve">(Queensland 60% against 67%; Australia-wide 74% against 72%). With only seven</w:t>
      </w:r>
      <w:r>
        <w:t xml:space="preserve"> </w:t>
      </w:r>
      <w:r>
        <w:t xml:space="preserve">Central Pacific events the sample is thin and we would not lean on it hard.</w:t>
      </w:r>
    </w:p>
    <w:p>
      <w:pPr>
        <w:pStyle w:val="BodyText"/>
      </w:pPr>
      <w:r>
        <w:t xml:space="preserve">The practical implication is a caution rather than a forecast: the eastern-Pacific</w:t>
      </w:r>
      <w:r>
        <w:t xml:space="preserve"> </w:t>
      </w:r>
      <w:r>
        <w:t xml:space="preserve">character of the 2026 event is a reason not to scale expected Australian impact</w:t>
      </w:r>
      <w:r>
        <w:t xml:space="preserve"> </w:t>
      </w:r>
      <w:r>
        <w:t xml:space="preserve">linearly with the size of the Niño 3.4 anomaly. It is one of several reasons,</w:t>
      </w:r>
      <w:r>
        <w:t xml:space="preserve"> </w:t>
      </w:r>
      <w:r>
        <w:t xml:space="preserve">and Section 4.3 gives a stronger one.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2" w:name="Xa473e02d8e1cd6a533e91fe69e5654666c9fe64"/>
    <w:p>
      <w:pPr>
        <w:pStyle w:val="Heading1"/>
      </w:pPr>
      <w:r>
        <w:t xml:space="preserve">2. What the models say, and how much weight they carry</w:t>
      </w:r>
    </w:p>
    <w:bookmarkStart w:id="29" w:name="the-forecasts"/>
    <w:p>
      <w:pPr>
        <w:pStyle w:val="Heading2"/>
      </w:pPr>
      <w:r>
        <w:t xml:space="preserve">2.1 The forecasts</w:t>
      </w:r>
    </w:p>
    <w:p>
      <w:pPr>
        <w:pStyle w:val="FirstParagraph"/>
      </w:pPr>
      <w:r>
        <w:t xml:space="preserve">The 9 July CPC discussion is the primary statement of the international position</w:t>
      </w:r>
      <w:r>
        <w:t xml:space="preserve"> </w:t>
      </w:r>
      <w:r>
        <w:t xml:space="preserve">(NOAA Climate Prediction Center, 2026a)</w:t>
      </w:r>
      <w:r>
        <w:t xml:space="preserve">:</w:t>
      </w:r>
    </w:p>
    <w:p>
      <w:pPr>
        <w:pStyle w:val="BlockText"/>
      </w:pPr>
      <w:r>
        <w:t xml:space="preserve">“El Niño continues and will strengthen through the end of the year, with a 97%</w:t>
      </w:r>
      <w:r>
        <w:t xml:space="preserve"> </w:t>
      </w:r>
      <w:r>
        <w:t xml:space="preserve">chance it will persist through early spring 2027.”</w:t>
      </w:r>
    </w:p>
    <w:p>
      <w:pPr>
        <w:pStyle w:val="FirstParagraph"/>
      </w:pPr>
      <w:r>
        <w:t xml:space="preserve">and</w:t>
      </w:r>
    </w:p>
    <w:p>
      <w:pPr>
        <w:pStyle w:val="BlockText"/>
      </w:pPr>
      <w:r>
        <w:t xml:space="preserve">“There is an 81% chance of a very strong El Niño during October-December that</w:t>
      </w:r>
      <w:r>
        <w:t xml:space="preserve"> </w:t>
      </w:r>
      <w:r>
        <w:t xml:space="preserve">would rank among the largest El Niño events in the historical record going back</w:t>
      </w:r>
      <w:r>
        <w:t xml:space="preserve"> </w:t>
      </w:r>
      <w:r>
        <w:t xml:space="preserve">to 1950.”</w:t>
      </w:r>
    </w:p>
    <w:p>
      <w:pPr>
        <w:pStyle w:val="FirstParagraph"/>
      </w:pPr>
      <w:r>
        <w:t xml:space="preserve">The Bureau’s assessment on 28 July is consistent:</w:t>
      </w:r>
      <w:r>
        <w:t xml:space="preserve"> </w:t>
      </w:r>
      <w:r>
        <w:t xml:space="preserve">“The majority of models indicate</w:t>
      </w:r>
      <w:r>
        <w:t xml:space="preserve"> </w:t>
      </w:r>
      <w:r>
        <w:t xml:space="preserve">this event is likely to peak at levels among, or above, the highest observed since</w:t>
      </w:r>
      <w:r>
        <w:t xml:space="preserve"> </w:t>
      </w:r>
      <w:r>
        <w:t xml:space="preserve">1950”</w:t>
      </w:r>
      <w:r>
        <w:t xml:space="preserve">, with the peak expected in late spring or summer and persistence possible</w:t>
      </w:r>
      <w:r>
        <w:t xml:space="preserve"> </w:t>
      </w:r>
      <w:r>
        <w:t xml:space="preserve">into autumn 2027</w:t>
      </w:r>
      <w:r>
        <w:t xml:space="preserve"> </w:t>
      </w:r>
      <w:r>
        <w:t xml:space="preserve">(Bureau of Meteorology, 2026d)</w:t>
      </w:r>
      <w:r>
        <w:t xml:space="preserve">.</w:t>
      </w:r>
    </w:p>
    <w:bookmarkEnd w:id="29"/>
    <w:bookmarkStart w:id="30" w:name="how-much-to-trust-them"/>
    <w:p>
      <w:pPr>
        <w:pStyle w:val="Heading2"/>
      </w:pPr>
      <w:r>
        <w:t xml:space="preserve">2.2 How much to trust them</w:t>
      </w:r>
    </w:p>
    <w:p>
      <w:pPr>
        <w:pStyle w:val="FirstParagraph"/>
      </w:pPr>
      <w:r>
        <w:t xml:space="preserve">Two features of the current situation raise confidence relative to a typical</w:t>
      </w:r>
      <w:r>
        <w:t xml:space="preserve"> </w:t>
      </w:r>
      <w:r>
        <w:t xml:space="preserve">mid-year ENSO forecast.</w:t>
      </w:r>
    </w:p>
    <w:p>
      <w:pPr>
        <w:pStyle w:val="BodyText"/>
      </w:pPr>
      <w:r>
        <w:t xml:space="preserve">The first is timing. ENSO forecasts issued in the southern autumn are notoriously</w:t>
      </w:r>
      <w:r>
        <w:t xml:space="preserve"> </w:t>
      </w:r>
      <w:r>
        <w:t xml:space="preserve">poor — the</w:t>
      </w:r>
      <w:r>
        <w:t xml:space="preserve"> </w:t>
      </w:r>
      <w:r>
        <w:t xml:space="preserve">“autumn predictability barrier”</w:t>
      </w:r>
      <w:r>
        <w:t xml:space="preserve"> </w:t>
      </w:r>
      <w:r>
        <w:t xml:space="preserve">— because that is when the coupled</w:t>
      </w:r>
      <w:r>
        <w:t xml:space="preserve"> </w:t>
      </w:r>
      <w:r>
        <w:t xml:space="preserve">system has least memory and small errors amplify. Forecasts issued from July</w:t>
      </w:r>
      <w:r>
        <w:t xml:space="preserve"> </w:t>
      </w:r>
      <w:r>
        <w:t xml:space="preserve">onward for the following summer peak skip that barrier. The current forecasts sit</w:t>
      </w:r>
      <w:r>
        <w:t xml:space="preserve"> </w:t>
      </w:r>
      <w:r>
        <w:t xml:space="preserve">on the good side of it.</w:t>
      </w:r>
    </w:p>
    <w:p>
      <w:pPr>
        <w:pStyle w:val="BodyText"/>
      </w:pPr>
      <w:r>
        <w:t xml:space="preserve">The second is coupling. CPC notes explicitly that</w:t>
      </w:r>
      <w:r>
        <w:t xml:space="preserve"> </w:t>
      </w:r>
      <w:r>
        <w:t xml:space="preserve">“a strong coupling of the</w:t>
      </w:r>
      <w:r>
        <w:t xml:space="preserve"> </w:t>
      </w:r>
      <w:r>
        <w:t xml:space="preserve">atmospheric and oceanic circulation across the Pacific contributes to very high</w:t>
      </w:r>
      <w:r>
        <w:t xml:space="preserve"> </w:t>
      </w:r>
      <w:r>
        <w:t xml:space="preserve">confidence that El Niño will continue through early 2027”</w:t>
      </w:r>
      <w:r>
        <w:t xml:space="preserve"> </w:t>
      </w:r>
      <w:r>
        <w:t xml:space="preserve">(NOAA Climate Prediction Center, 2026a)</w:t>
      </w:r>
      <w:r>
        <w:t xml:space="preserve">. An SST anomaly without atmospheric response can decay</w:t>
      </w:r>
      <w:r>
        <w:t xml:space="preserve"> </w:t>
      </w:r>
      <w:r>
        <w:t xml:space="preserve">quickly; one with a reinforcing wind and convection response generally does not.</w:t>
      </w:r>
      <w:r>
        <w:t xml:space="preserve"> </w:t>
      </w:r>
      <w:r>
        <w:t xml:space="preserve">The SOI at −28.0 and the observed westerly wind anomalies say the coupling is</w:t>
      </w:r>
      <w:r>
        <w:t xml:space="preserve"> </w:t>
      </w:r>
      <w:r>
        <w:t xml:space="preserve">present.</w:t>
      </w:r>
    </w:p>
    <w:p>
      <w:pPr>
        <w:pStyle w:val="BodyText"/>
      </w:pPr>
      <w:r>
        <w:t xml:space="preserve">Against that, one caution applies to the</w:t>
      </w:r>
      <w:r>
        <w:t xml:space="preserve"> </w:t>
      </w:r>
      <w:r>
        <w:rPr>
          <w:i/>
          <w:iCs/>
        </w:rPr>
        <w:t xml:space="preserve">strength</w:t>
      </w:r>
      <w:r>
        <w:t xml:space="preserve"> </w:t>
      </w:r>
      <w:r>
        <w:t xml:space="preserve">forecast specifically. The</w:t>
      </w:r>
      <w:r>
        <w:t xml:space="preserve"> </w:t>
      </w:r>
      <w:r>
        <w:t xml:space="preserve">81% figure is a probability of exceeding a threshold on an index, not a</w:t>
      </w:r>
      <w:r>
        <w:t xml:space="preserve"> </w:t>
      </w:r>
      <w:r>
        <w:t xml:space="preserve">probability of any particular Australian outcome. Section 4.3 shows those are</w:t>
      </w:r>
      <w:r>
        <w:t xml:space="preserve"> </w:t>
      </w:r>
      <w:r>
        <w:t xml:space="preserve">close to independent.</w:t>
      </w:r>
    </w:p>
    <w:bookmarkEnd w:id="30"/>
    <w:bookmarkStart w:id="31" w:name="X6795d1880308baf1b5bc1ba29b1cc92614b1032"/>
    <w:p>
      <w:pPr>
        <w:pStyle w:val="Heading2"/>
      </w:pPr>
      <w:r>
        <w:t xml:space="preserve">2.3 What the Bureau itself says about reading across to Australia</w:t>
      </w:r>
    </w:p>
    <w:p>
      <w:pPr>
        <w:pStyle w:val="FirstParagraph"/>
      </w:pPr>
      <w:r>
        <w:t xml:space="preserve">The Bureau attaches a warning to its own product that deserves repeating in full,</w:t>
      </w:r>
      <w:r>
        <w:t xml:space="preserve"> </w:t>
      </w:r>
      <w:r>
        <w:t xml:space="preserve">because it is the single most important qualifier in this note</w:t>
      </w:r>
      <w:r>
        <w:t xml:space="preserve"> </w:t>
      </w:r>
      <w:r>
        <w:t xml:space="preserve">(Bureau of Meteorology, 2026d)</w:t>
      </w:r>
      <w:r>
        <w:t xml:space="preserve">:</w:t>
      </w:r>
    </w:p>
    <w:p>
      <w:pPr>
        <w:pStyle w:val="BlockText"/>
      </w:pPr>
      <w:r>
        <w:t xml:space="preserve">“A strong El Niño signal in the Niño 3.4 region does not necessarily mean strong</w:t>
      </w:r>
      <w:r>
        <w:t xml:space="preserve"> </w:t>
      </w:r>
      <w:r>
        <w:t xml:space="preserve">impacts on Australia’s climate; ENSO is only one of many factors.”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40" w:name="the-other-two-drivers"/>
    <w:p>
      <w:pPr>
        <w:pStyle w:val="Heading1"/>
      </w:pPr>
      <w:r>
        <w:t xml:space="preserve">3. The other two drivers</w:t>
      </w:r>
    </w:p>
    <w:p>
      <w:pPr>
        <w:pStyle w:val="FirstParagraph"/>
      </w:pPr>
      <w:r>
        <w:t xml:space="preserve">Australian seasonal rainfall responds to at least three large-scale modes. Treating</w:t>
      </w:r>
      <w:r>
        <w:t xml:space="preserve"> </w:t>
      </w:r>
      <w:r>
        <w:t xml:space="preserve">El Niño in isolation is the most common error in public commentary on this topic.</w:t>
      </w:r>
    </w:p>
    <w:bookmarkStart w:id="33" w:name="the-indian-ocean-dipole"/>
    <w:p>
      <w:pPr>
        <w:pStyle w:val="Heading2"/>
      </w:pPr>
      <w:r>
        <w:t xml:space="preserve">3.1 The Indian Ocean Dipole</w:t>
      </w:r>
    </w:p>
    <w:p>
      <w:pPr>
        <w:pStyle w:val="FirstParagraph"/>
      </w:pPr>
      <w:r>
        <w:t xml:space="preserve">The Indian Ocean Dipole measures the temperature difference between the western</w:t>
      </w:r>
      <w:r>
        <w:t xml:space="preserve"> </w:t>
      </w:r>
      <w:r>
        <w:t xml:space="preserve">and eastern tropical Indian Ocean. In its positive phase, cool water sits off</w:t>
      </w:r>
      <w:r>
        <w:t xml:space="preserve"> </w:t>
      </w:r>
      <w:r>
        <w:t xml:space="preserve">Indonesia and north-west Australia and warm water off east Africa. The cool</w:t>
      </w:r>
      <w:r>
        <w:t xml:space="preserve"> </w:t>
      </w:r>
      <w:r>
        <w:t xml:space="preserve">eastern pole suppresses the north-west cloud bands that carry moisture across the</w:t>
      </w:r>
      <w:r>
        <w:t xml:space="preserve"> </w:t>
      </w:r>
      <w:r>
        <w:t xml:space="preserve">continent into south-eastern Australia — a major source of cool-season rain for</w:t>
      </w:r>
      <w:r>
        <w:t xml:space="preserve"> </w:t>
      </w:r>
      <w:r>
        <w:t xml:space="preserve">the Murray-Darling and the southern cropping belt.</w:t>
      </w:r>
    </w:p>
    <w:p>
      <w:pPr>
        <w:pStyle w:val="BodyText"/>
      </w:pPr>
      <w:r>
        <w:t xml:space="preserve">As at the week ending 26 July 2026 the Bureau’s IOD index stood at +0.44 °C,</w:t>
      </w:r>
      <w:r>
        <w:t xml:space="preserve"> </w:t>
      </w:r>
      <w:r>
        <w:t xml:space="preserve">“the</w:t>
      </w:r>
      <w:r>
        <w:t xml:space="preserve"> </w:t>
      </w:r>
      <w:r>
        <w:t xml:space="preserve">first week that the index has reached the positive IOD threshold (+0.4 °C)”</w:t>
      </w:r>
      <w:r>
        <w:t xml:space="preserve">, with</w:t>
      </w:r>
      <w:r>
        <w:t xml:space="preserve"> </w:t>
      </w:r>
      <w:r>
        <w:t xml:space="preserve">sustained values above threshold required before an event is declared. Models</w:t>
      </w:r>
      <w:r>
        <w:t xml:space="preserve"> </w:t>
      </w:r>
      <w:r>
        <w:t xml:space="preserve">“suggest a positive IOD may develop during the southern hemisphere winter and</w:t>
      </w:r>
      <w:r>
        <w:t xml:space="preserve"> </w:t>
      </w:r>
      <w:r>
        <w:t xml:space="preserve">persist into spring, although there remains some variation in the timing and</w:t>
      </w:r>
      <w:r>
        <w:t xml:space="preserve"> </w:t>
      </w:r>
      <w:r>
        <w:t xml:space="preserve">strength”</w:t>
      </w:r>
      <w:r>
        <w:t xml:space="preserve"> </w:t>
      </w:r>
      <w:r>
        <w:t xml:space="preserve">(Bureau of Meteorology, 2026d)</w:t>
      </w:r>
      <w:r>
        <w:t xml:space="preserve">.</w:t>
      </w:r>
    </w:p>
    <w:p>
      <w:pPr>
        <w:pStyle w:val="BodyText"/>
      </w:pPr>
      <w:r>
        <w:t xml:space="preserve">The IOD and ENSO are not independent. Over 1950–2025 the correlation between</w:t>
      </w:r>
      <w:r>
        <w:t xml:space="preserve"> </w:t>
      </w:r>
      <w:r>
        <w:t xml:space="preserve">spring Niño 3.4 and the spring Dipole Mode Index is +0.55 — they co-occur more</w:t>
      </w:r>
      <w:r>
        <w:t xml:space="preserve"> </w:t>
      </w:r>
      <w:r>
        <w:t xml:space="preserve">often than not, which is why 16 of the 24 El Niño events in our sample fell in the</w:t>
      </w:r>
      <w:r>
        <w:t xml:space="preserve"> </w:t>
      </w:r>
      <w:r>
        <w:t xml:space="preserve">top third of the IOD distribution. But the eight that did not are the informative</w:t>
      </w:r>
      <w:r>
        <w:t xml:space="preserve"> </w:t>
      </w:r>
      <w:r>
        <w:t xml:space="preserve">cases.</w:t>
      </w:r>
    </w:p>
    <w:bookmarkEnd w:id="33"/>
    <w:bookmarkStart w:id="34" w:name="the-southern-annular-mode"/>
    <w:p>
      <w:pPr>
        <w:pStyle w:val="Heading2"/>
      </w:pPr>
      <w:r>
        <w:t xml:space="preserve">3.2 The Southern Annular Mode</w:t>
      </w:r>
    </w:p>
    <w:p>
      <w:pPr>
        <w:pStyle w:val="FirstParagraph"/>
      </w:pPr>
      <w:r>
        <w:t xml:space="preserve">The Southern Annular Mode describes how far north or south the belt of Southern</w:t>
      </w:r>
      <w:r>
        <w:t xml:space="preserve"> </w:t>
      </w:r>
      <w:r>
        <w:t xml:space="preserve">Ocean westerlies sits. Its Australian effect is strongly seasonal and, unusually,</w:t>
      </w:r>
      <w:r>
        <w:t xml:space="preserve"> </w:t>
      </w:r>
      <w:r>
        <w:t xml:space="preserve">changes sign by region and season.</w:t>
      </w:r>
    </w:p>
    <w:p>
      <w:pPr>
        <w:pStyle w:val="BodyText"/>
      </w:pPr>
      <w:r>
        <w:t xml:space="preserve">In winter, a positive SAM pulls the westerlies south, away from southern Australia,</w:t>
      </w:r>
      <w:r>
        <w:t xml:space="preserve"> </w:t>
      </w:r>
      <w:r>
        <w:t xml:space="preserve">reducing rain in Tasmania, southern Victoria and south-west Western Australia. In</w:t>
      </w:r>
      <w:r>
        <w:t xml:space="preserve"> </w:t>
      </w:r>
      <w:r>
        <w:t xml:space="preserve">spring and summer, a positive SAM allows the subtropical ridge to shift south,</w:t>
      </w:r>
      <w:r>
        <w:t xml:space="preserve"> </w:t>
      </w:r>
      <w:r>
        <w:t xml:space="preserve">which drives moist onshore easterlies into the New South Wales and Queensland</w:t>
      </w:r>
      <w:r>
        <w:t xml:space="preserve"> </w:t>
      </w:r>
      <w:r>
        <w:t xml:space="preserve">coasts and</w:t>
      </w:r>
      <w:r>
        <w:t xml:space="preserve"> </w:t>
      </w:r>
      <w:r>
        <w:rPr>
          <w:i/>
          <w:iCs/>
        </w:rPr>
        <w:t xml:space="preserve">increases</w:t>
      </w:r>
      <w:r>
        <w:t xml:space="preserve"> </w:t>
      </w:r>
      <w:r>
        <w:t xml:space="preserve">rainfall there. A negative SAM does the reverse: wetter</w:t>
      </w:r>
      <w:r>
        <w:t xml:space="preserve"> </w:t>
      </w:r>
      <w:r>
        <w:t xml:space="preserve">southern margins in winter, drier eastern Australia in summer</w:t>
      </w:r>
      <w:r>
        <w:t xml:space="preserve"> </w:t>
      </w:r>
      <w:r>
        <w:t xml:space="preserve">(Bureau of Meteorology, 2026c)</w:t>
      </w:r>
      <w:r>
        <w:t xml:space="preserve">.</w:t>
      </w:r>
    </w:p>
    <w:p>
      <w:pPr>
        <w:pStyle w:val="BodyText"/>
      </w:pPr>
      <w:r>
        <w:t xml:space="preserve">The current state is unsettled. The CPC monthly Antarctic Oscillation index for</w:t>
      </w:r>
      <w:r>
        <w:t xml:space="preserve"> </w:t>
      </w:r>
      <w:r>
        <w:t xml:space="preserve">June 2026 was +2.51, an unusually positive month. By late July the Bureau reported</w:t>
      </w:r>
      <w:r>
        <w:t xml:space="preserve"> </w:t>
      </w:r>
      <w:r>
        <w:t xml:space="preserve">the index negative and forecast to remain so until at least early August</w:t>
      </w:r>
      <w:r>
        <w:t xml:space="preserve"> </w:t>
      </w:r>
      <w:r>
        <w:t xml:space="preserve">(Bureau of Meteorology, 2026d)</w:t>
      </w:r>
      <w:r>
        <w:t xml:space="preserve">. SAM varies on one-to-two week timescales, so this is normal</w:t>
      </w:r>
      <w:r>
        <w:t xml:space="preserve"> </w:t>
      </w:r>
      <w:r>
        <w:t xml:space="preserve">behaviour rather than a contradiction; it also means SAM is not forecastable at</w:t>
      </w:r>
      <w:r>
        <w:t xml:space="preserve"> </w:t>
      </w:r>
      <w:r>
        <w:t xml:space="preserve">seasonal lead in the way ENSO is. It should be treated as a source of variance</w:t>
      </w:r>
      <w:r>
        <w:t xml:space="preserve"> </w:t>
      </w:r>
      <w:r>
        <w:t xml:space="preserve">around the seasonal outlook rather than as a predictor.</w:t>
      </w:r>
    </w:p>
    <w:p>
      <w:pPr>
        <w:pStyle w:val="BodyText"/>
      </w:pPr>
      <w:r>
        <w:t xml:space="preserve">The magnitude of its effect is not small. Over 1979–2025, Australian spring</w:t>
      </w:r>
      <w:r>
        <w:t xml:space="preserve"> </w:t>
      </w:r>
      <w:r>
        <w:t xml:space="preserve">rainfall averaged 121% of the trend baseline in the top third of SAM years against</w:t>
      </w:r>
      <w:r>
        <w:t xml:space="preserve"> </w:t>
      </w:r>
      <w:r>
        <w:t xml:space="preserve">81% in the bottom third — a spread comparable to the ENSO signal itself.</w:t>
      </w:r>
      <w:r>
        <w:t xml:space="preserve"> </w:t>
      </w:r>
      <w:r>
        <w:t xml:space="preserve">Restricting to non-El Niño years, so the two are not confounded, the spread is</w:t>
      </w:r>
      <w:r>
        <w:t xml:space="preserve"> </w:t>
      </w:r>
      <w:r>
        <w:t xml:space="preserve">128% against 92%. New South Wales runs 131% against 83%. Tasmania runs the other</w:t>
      </w:r>
      <w:r>
        <w:t xml:space="preserve"> </w:t>
      </w:r>
      <w:r>
        <w:t xml:space="preserve">way, 99% against 114%, exactly as the mechanism predicts. The correlation between</w:t>
      </w:r>
      <w:r>
        <w:t xml:space="preserve"> </w:t>
      </w:r>
      <w:r>
        <w:t xml:space="preserve">spring SAM and spring Niño 3.4 over 1979–2025 is only −0.25, so most of this is</w:t>
      </w:r>
      <w:r>
        <w:t xml:space="preserve"> </w:t>
      </w:r>
      <w:r>
        <w:t xml:space="preserve">independent of ENSO.</w:t>
      </w:r>
    </w:p>
    <w:bookmarkEnd w:id="34"/>
    <w:bookmarkStart w:id="39" w:name="the-interaction-that-matters-most"/>
    <w:p>
      <w:pPr>
        <w:pStyle w:val="Heading2"/>
      </w:pPr>
      <w:r>
        <w:t xml:space="preserve">3.3 The interaction that matters most</w:t>
      </w:r>
    </w:p>
    <w:p>
      <w:pPr>
        <w:pStyle w:val="FirstParagraph"/>
      </w:pPr>
      <w:r>
        <w:t xml:space="preserve">Combining the three gives the central empirical result of this note.</w:t>
      </w:r>
      <w:r>
        <w:t xml:space="preserve"> </w:t>
      </w:r>
      <w:hyperlink w:anchor="fig-iod">
        <w:r>
          <w:rPr>
            <w:rStyle w:val="Hyperlink"/>
          </w:rPr>
          <w:t xml:space="preserve">Figure 2</w:t>
        </w:r>
      </w:hyperlink>
      <w:r>
        <w:t xml:space="preserve"> </w:t>
      </w:r>
      <w:r>
        <w:t xml:space="preserve">splits spring rainfall from 1950 to 2025 by whether an El Niño was underway and</w:t>
      </w:r>
      <w:r>
        <w:t xml:space="preserve"> </w:t>
      </w:r>
      <w:r>
        <w:t xml:space="preserve">whether the spring Dipole Mode Index reached the conventional +0.4 °C</w:t>
      </w:r>
      <w:r>
        <w:t xml:space="preserve"> </w:t>
      </w:r>
      <w:r>
        <w:t xml:space="preserve">positive-IOD threshold.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8" w:name="fig-iod"/>
          <w:p>
            <w:pPr>
              <w:pStyle w:val="Compact"/>
              <w:jc w:val="center"/>
            </w:pPr>
            <w:r>
              <w:drawing>
                <wp:inline>
                  <wp:extent cx="5334000" cy="2943214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../media/elnino_iod_interaction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2943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start"/>
              <w:spacing w:before="200"/>
              <w:pStyle w:val="ImageCaption"/>
            </w:pPr>
            <w:r>
              <w:t xml:space="preserve">Figure 2: Spring rainfall by ENSO and IOD state, 1950–2025.</w:t>
            </w:r>
          </w:p>
          <w:bookmarkEnd w:id="38"/>
        </w:tc>
      </w:tr>
    </w:tbl>
    <w:p>
      <w:pPr>
        <w:pStyle w:val="BodyText"/>
      </w:pPr>
      <w:r>
        <w:rPr>
          <w:b/>
          <w:bCs/>
        </w:rPr>
        <w:t xml:space="preserve">Spring rainfall by climate driver combination, % of local trend baseline, 1950–2025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844"/>
        <w:gridCol w:w="2534"/>
        <w:gridCol w:w="2745"/>
        <w:gridCol w:w="528"/>
        <w:gridCol w:w="1267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Region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El Niño + positive IOD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El Niño, no positive IOD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 El Niño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Victoria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South Australia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Tasmania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Murray-Darling Basin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South Wales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Western Australia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Northern Territory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Queensland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Number of years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i/>
                <w:iCs/>
              </w:rPr>
              <w:t xml:space="preserve">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i/>
                <w:iCs/>
              </w:rPr>
              <w:t xml:space="preserve">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rPr>
                <w:i/>
                <w:iCs/>
              </w:rPr>
              <w:t xml:space="preserve">52</w:t>
            </w:r>
          </w:p>
        </w:tc>
      </w:tr>
    </w:tbl>
    <w:p>
      <w:pPr>
        <w:pStyle w:val="BodyText"/>
      </w:pPr>
      <w:r>
        <w:rPr>
          <w:i/>
          <w:iCs/>
        </w:rPr>
        <w:t xml:space="preserve">Source: Author calculations from Bureau of Meteorology area-averaged rainfall,</w:t>
      </w:r>
      <w:r>
        <w:rPr>
          <w:i/>
          <w:iCs/>
        </w:rPr>
        <w:t xml:space="preserve"> </w:t>
      </w:r>
      <w:r>
        <w:rPr>
          <w:i/>
          <w:iCs/>
        </w:rPr>
        <w:t xml:space="preserve">NOAA CPC ONI and HadISST Dipole Mode Index. Positive IOD defined as a spring</w:t>
      </w:r>
      <w:r>
        <w:rPr>
          <w:i/>
          <w:iCs/>
        </w:rPr>
        <w:t xml:space="preserve"> </w:t>
      </w:r>
      <w:r>
        <w:rPr>
          <w:i/>
          <w:iCs/>
        </w:rPr>
        <w:t xml:space="preserve">Dipole Mode Index at or above +0.4 °C, the Bureau’s operational threshold. The</w:t>
      </w:r>
      <w:r>
        <w:rPr>
          <w:i/>
          <w:iCs/>
        </w:rPr>
        <w:t xml:space="preserve"> </w:t>
      </w:r>
      <w:r>
        <w:rPr>
          <w:i/>
          <w:iCs/>
        </w:rPr>
        <w:t xml:space="preserve">fourth possible cell — a positive IOD without an El Niño — occurs only once in</w:t>
      </w:r>
      <w:r>
        <w:rPr>
          <w:i/>
          <w:iCs/>
        </w:rPr>
        <w:t xml:space="preserve"> </w:t>
      </w:r>
      <w:r>
        <w:rPr>
          <w:i/>
          <w:iCs/>
        </w:rPr>
        <w:t xml:space="preserve">this record and is not interpretable, so it is omitted rather than estimated.</w:t>
      </w:r>
    </w:p>
    <w:p>
      <w:pPr>
        <w:pStyle w:val="BodyText"/>
      </w:pPr>
      <w:r>
        <w:t xml:space="preserve">The gap column is the finding. In Queensland it is one percentage point and in</w:t>
      </w:r>
      <w:r>
        <w:t xml:space="preserve"> </w:t>
      </w:r>
      <w:r>
        <w:t xml:space="preserve">the Northern Territory three: El Niño produces drought in the tropical north and</w:t>
      </w:r>
      <w:r>
        <w:t xml:space="preserve"> </w:t>
      </w:r>
      <w:r>
        <w:t xml:space="preserve">north-east whether or not the Indian Ocean cooperates. In Victoria the gap is 22</w:t>
      </w:r>
      <w:r>
        <w:t xml:space="preserve"> </w:t>
      </w:r>
      <w:r>
        <w:t xml:space="preserve">points and in South Australia 21 — and without a positive IOD, Victorian spring</w:t>
      </w:r>
      <w:r>
        <w:t xml:space="preserve"> </w:t>
      </w:r>
      <w:r>
        <w:t xml:space="preserve">rainfall at 90% of baseline is only marginally below normal.</w:t>
      </w:r>
    </w:p>
    <w:p>
      <w:pPr>
        <w:pStyle w:val="BodyText"/>
      </w:pPr>
      <w:r>
        <w:t xml:space="preserve">The ordering of that column is a clean north-to-south gradient, which is what the</w:t>
      </w:r>
      <w:r>
        <w:t xml:space="preserve"> </w:t>
      </w:r>
      <w:r>
        <w:t xml:space="preserve">mechanism predicts: the north responds to the Pacific directly, the south responds</w:t>
      </w:r>
      <w:r>
        <w:t xml:space="preserve"> </w:t>
      </w:r>
      <w:r>
        <w:t xml:space="preserve">to the north-west cloud bands that the Indian Ocean governs.</w:t>
      </w:r>
    </w:p>
    <w:p>
      <w:pPr>
        <w:pStyle w:val="BodyText"/>
      </w:pPr>
      <w:r>
        <w:t xml:space="preserve">The conclusion for policy is specific.</w:t>
      </w:r>
      <w:r>
        <w:t xml:space="preserve"> </w:t>
      </w:r>
      <w:r>
        <w:rPr>
          <w:b/>
          <w:bCs/>
        </w:rPr>
        <w:t xml:space="preserve">Queensland and the Northern Territory</w:t>
      </w:r>
      <w:r>
        <w:rPr>
          <w:b/>
          <w:bCs/>
        </w:rPr>
        <w:t xml:space="preserve"> </w:t>
      </w:r>
      <w:r>
        <w:rPr>
          <w:b/>
          <w:bCs/>
        </w:rPr>
        <w:t xml:space="preserve">should be planned for on the basis of the El Niño alone. Victoria, South Australia</w:t>
      </w:r>
      <w:r>
        <w:rPr>
          <w:b/>
          <w:bCs/>
        </w:rPr>
        <w:t xml:space="preserve"> </w:t>
      </w:r>
      <w:r>
        <w:rPr>
          <w:b/>
          <w:bCs/>
        </w:rPr>
        <w:t xml:space="preserve">and the southern Murray-Darling should be planned for on the basis of the Indian</w:t>
      </w:r>
      <w:r>
        <w:rPr>
          <w:b/>
          <w:bCs/>
        </w:rPr>
        <w:t xml:space="preserve"> </w:t>
      </w:r>
      <w:r>
        <w:rPr>
          <w:b/>
          <w:bCs/>
        </w:rPr>
        <w:t xml:space="preserve">Ocean Dipole, and that question will not be settled until September.</w:t>
      </w:r>
    </w:p>
    <w:p>
      <w:pPr>
        <w:pStyle w:val="BodyText"/>
      </w:pPr>
      <w:r>
        <w:t xml:space="preserve">The result survives a change of threshold. Using the looser criterion of one</w:t>
      </w:r>
      <w:r>
        <w:t xml:space="preserve"> </w:t>
      </w:r>
      <w:r>
        <w:t xml:space="preserve">standard deviation above the mean (a spring Dipole Mode Index of +0.25 °C, which</w:t>
      </w:r>
      <w:r>
        <w:t xml:space="preserve"> </w:t>
      </w:r>
      <w:r>
        <w:t xml:space="preserve">reclassifies three events), the gaps become 27 points in Victoria, 33 in South</w:t>
      </w:r>
      <w:r>
        <w:t xml:space="preserve"> </w:t>
      </w:r>
      <w:r>
        <w:t xml:space="preserve">Australia, 15 in the Murray-Darling and 9 in Queensland — larger in the south,</w:t>
      </w:r>
      <w:r>
        <w:t xml:space="preserve"> </w:t>
      </w:r>
      <w:r>
        <w:t xml:space="preserve">still small in the north, and the same ordering.</w:t>
      </w:r>
    </w:p>
    <w:p>
      <w:pPr>
        <w:pStyle w:val="BodyText"/>
      </w:pPr>
      <w:r>
        <w:t xml:space="preserve">This also resolves an apparent puzzle in the recent record. The 2019 drought and</w:t>
      </w:r>
      <w:r>
        <w:t xml:space="preserve"> </w:t>
      </w:r>
      <w:r>
        <w:t xml:space="preserve">the Black Summer fires occurred in a year when ENSO was, at most, marginally warm</w:t>
      </w:r>
      <w:r>
        <w:t xml:space="preserve"> </w:t>
      </w:r>
      <w:r>
        <w:t xml:space="preserve">— our mechanical classification picks up 2019 as a weak event with a spring Niño</w:t>
      </w:r>
      <w:r>
        <w:t xml:space="preserve"> </w:t>
      </w:r>
      <w:r>
        <w:t xml:space="preserve">3.4 of just +0.39 °C, and the Bureau never declared an El Niño. What 2019 did have</w:t>
      </w:r>
      <w:r>
        <w:t xml:space="preserve"> </w:t>
      </w:r>
      <w:r>
        <w:t xml:space="preserve">was the strongest positive Indian Ocean Dipole in our sample, with a spring Dipole</w:t>
      </w:r>
      <w:r>
        <w:t xml:space="preserve"> </w:t>
      </w:r>
      <w:r>
        <w:t xml:space="preserve">Mode Index of +0.90. Australian spring rainfall that year came in at 35% of</w:t>
      </w:r>
      <w:r>
        <w:t xml:space="preserve"> </w:t>
      </w:r>
      <w:r>
        <w:t xml:space="preserve">baseline, the driest in the 24-event sample. The Indian Ocean, not the Pacific,</w:t>
      </w:r>
      <w:r>
        <w:t xml:space="preserve"> </w:t>
      </w:r>
      <w:r>
        <w:t xml:space="preserve">drove that outcome.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63" w:name="X8cf4e54b94d7fc5b249ba24b8256ad13975dc05"/>
    <w:p>
      <w:pPr>
        <w:pStyle w:val="Heading1"/>
      </w:pPr>
      <w:r>
        <w:t xml:space="preserve">4. What past El Niños have done to Australia</w:t>
      </w:r>
    </w:p>
    <w:bookmarkStart w:id="41" w:name="method"/>
    <w:p>
      <w:pPr>
        <w:pStyle w:val="Heading2"/>
      </w:pPr>
      <w:r>
        <w:t xml:space="preserve">4.1 Method</w:t>
      </w:r>
    </w:p>
    <w:p>
      <w:pPr>
        <w:pStyle w:val="FirstParagraph"/>
      </w:pPr>
      <w:r>
        <w:t xml:space="preserve">We identified El Niño events using the standard CPC definition — five consecutive</w:t>
      </w:r>
      <w:r>
        <w:t xml:space="preserve"> </w:t>
      </w:r>
      <w:r>
        <w:t xml:space="preserve">overlapping three-month seasons with the Oceanic Niño Index at or above +0.5 °C —</w:t>
      </w:r>
      <w:r>
        <w:t xml:space="preserve"> </w:t>
      </w:r>
      <w:r>
        <w:t xml:space="preserve">applied to the ONI series back to 1950. That gives 24 events between 1951 and</w:t>
      </w:r>
      <w:r>
        <w:t xml:space="preserve"> </w:t>
      </w:r>
      <w:r>
        <w:t xml:space="preserve">2023, of which five are very strong (peak ONI ≥ 2.0): 1972–73, 1982–83, 1997–98,</w:t>
      </w:r>
      <w:r>
        <w:t xml:space="preserve"> </w:t>
      </w:r>
      <w:r>
        <w:t xml:space="preserve">2015–16 and 2023–24.</w:t>
      </w:r>
    </w:p>
    <w:p>
      <w:pPr>
        <w:pStyle w:val="BodyText"/>
      </w:pPr>
      <w:r>
        <w:t xml:space="preserve">Australian climate response uses the Bureau’s area-averaged rainfall (from 1900)</w:t>
      </w:r>
      <w:r>
        <w:t xml:space="preserve"> </w:t>
      </w:r>
      <w:r>
        <w:t xml:space="preserve">and ACORN-SAT temperature (from 1910) series for each state, the Murray-Darling</w:t>
      </w:r>
      <w:r>
        <w:t xml:space="preserve"> </w:t>
      </w:r>
      <w:r>
        <w:t xml:space="preserve">Basin and Australia as a whole. Every value is expressed against a 31-year centred</w:t>
      </w:r>
      <w:r>
        <w:t xml:space="preserve"> </w:t>
      </w:r>
      <w:r>
        <w:t xml:space="preserve">rolling baseline at that location, so the composite measures the ENSO signal and</w:t>
      </w:r>
      <w:r>
        <w:t xml:space="preserve"> </w:t>
      </w:r>
      <w:r>
        <w:t xml:space="preserve">not the long-term trend. Section 4.5 reports the undetrended numbers separately,</w:t>
      </w:r>
      <w:r>
        <w:t xml:space="preserve"> </w:t>
      </w:r>
      <w:r>
        <w:t xml:space="preserve">because for impact purposes the total is what matters.</w:t>
      </w:r>
    </w:p>
    <w:p>
      <w:pPr>
        <w:pStyle w:val="BodyText"/>
      </w:pPr>
      <w:r>
        <w:t xml:space="preserve">A note on what the state series can and cannot do. Western Australia and Queensland</w:t>
      </w:r>
      <w:r>
        <w:t xml:space="preserve"> </w:t>
      </w:r>
      <w:r>
        <w:t xml:space="preserve">are large enough that a state average blends climatically distinct regions — the</w:t>
      </w:r>
      <w:r>
        <w:t xml:space="preserve"> </w:t>
      </w:r>
      <w:r>
        <w:t xml:space="preserve">north-west monsoon zone with the south-west winter-rainfall zone, the Queensland</w:t>
      </w:r>
      <w:r>
        <w:t xml:space="preserve"> </w:t>
      </w:r>
      <w:r>
        <w:t xml:space="preserve">tropics with the southern grain belt. Section 5 uses gridded data to look inside</w:t>
      </w:r>
      <w:r>
        <w:t xml:space="preserve"> </w:t>
      </w:r>
      <w:r>
        <w:t xml:space="preserve">the states.</w:t>
      </w:r>
    </w:p>
    <w:bookmarkEnd w:id="41"/>
    <w:bookmarkStart w:id="46" w:name="the-seasonal-cycle-of-the-signal"/>
    <w:p>
      <w:pPr>
        <w:pStyle w:val="Heading2"/>
      </w:pPr>
      <w:r>
        <w:t xml:space="preserve">4.2 The seasonal cycle of the signal</w:t>
      </w:r>
    </w:p>
    <w:p>
      <w:pPr>
        <w:pStyle w:val="FirstParagraph"/>
      </w:pPr>
      <w:r>
        <w:t xml:space="preserve">El Niño is not a year-round influence on Australia. Its effect is concentrated in</w:t>
      </w:r>
      <w:r>
        <w:t xml:space="preserve"> </w:t>
      </w:r>
      <w:r>
        <w:t xml:space="preserve">winter and spring and largely gone by mid-summer.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5" w:name="fig-seasons"/>
          <w:p>
            <w:pPr>
              <w:pStyle w:val="Compact"/>
              <w:jc w:val="center"/>
            </w:pPr>
            <w:r>
              <w:drawing>
                <wp:inline>
                  <wp:extent cx="5334000" cy="4240367"/>
                  <wp:effectExtent b="0" l="0" r="0" t="0"/>
                  <wp:docPr descr="" title="" id="43" name="Picture"/>
                  <a:graphic>
                    <a:graphicData uri="http://schemas.openxmlformats.org/drawingml/2006/picture">
                      <pic:pic>
                        <pic:nvPicPr>
                          <pic:cNvPr descr="../media/elnino_season_region.png" id="4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4240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start"/>
              <w:spacing w:before="200"/>
              <w:pStyle w:val="ImageCaption"/>
            </w:pPr>
            <w:r>
              <w:t xml:space="preserve">Figure 3: Rainfall in El Niño years by region and season, as % of the local 31-year trend baseline.</w:t>
            </w:r>
          </w:p>
          <w:bookmarkEnd w:id="45"/>
        </w:tc>
      </w:tr>
    </w:tbl>
    <w:p>
      <w:pPr>
        <w:pStyle w:val="BodyText"/>
      </w:pPr>
      <w:r>
        <w:t xml:space="preserve">Three features stand out.</w:t>
      </w:r>
    </w:p>
    <w:p>
      <w:pPr>
        <w:pStyle w:val="BodyText"/>
      </w:pPr>
      <w:r>
        <w:rPr>
          <w:b/>
          <w:bCs/>
        </w:rPr>
        <w:t xml:space="preserve">Spring is the peak.</w:t>
      </w:r>
      <w:r>
        <w:t xml:space="preserve"> </w:t>
      </w:r>
      <w:r>
        <w:t xml:space="preserve">Australia-wide spring rainfall in El Niño years averages</w:t>
      </w:r>
      <w:r>
        <w:t xml:space="preserve"> </w:t>
      </w:r>
      <w:r>
        <w:t xml:space="preserve">73% of baseline, and is below normal in 92% of events. No other season comes close</w:t>
      </w:r>
      <w:r>
        <w:t xml:space="preserve"> </w:t>
      </w:r>
      <w:r>
        <w:t xml:space="preserve">for consistency.</w:t>
      </w:r>
    </w:p>
    <w:p>
      <w:pPr>
        <w:pStyle w:val="BodyText"/>
      </w:pPr>
      <w:r>
        <w:rPr>
          <w:b/>
          <w:bCs/>
        </w:rPr>
        <w:t xml:space="preserve">Winter is close behind in the north and east, and absent in the south.</w:t>
      </w:r>
      <w:r>
        <w:t xml:space="preserve"> </w:t>
      </w:r>
      <w:r>
        <w:t xml:space="preserve">Queensland runs 64% and the Northern Territory 68% in winter, while South</w:t>
      </w:r>
      <w:r>
        <w:t xml:space="preserve"> </w:t>
      </w:r>
      <w:r>
        <w:t xml:space="preserve">Australia (93%), Western Australia (94%) and Tasmania (97%) show effectively</w:t>
      </w:r>
      <w:r>
        <w:t xml:space="preserve"> </w:t>
      </w:r>
      <w:r>
        <w:t xml:space="preserve">nothing. The tropical and subtropical signal arrives early; the southern signal</w:t>
      </w:r>
      <w:r>
        <w:t xml:space="preserve"> </w:t>
      </w:r>
      <w:r>
        <w:t xml:space="preserve">waits for spring, and even then is weaker.</w:t>
      </w:r>
    </w:p>
    <w:p>
      <w:pPr>
        <w:pStyle w:val="BodyText"/>
      </w:pPr>
      <w:r>
        <w:rPr>
          <w:b/>
          <w:bCs/>
        </w:rPr>
        <w:t xml:space="preserve">Summer is when the signal fades — except in Western Australia.</w:t>
      </w:r>
      <w:r>
        <w:t xml:space="preserve"> </w:t>
      </w:r>
      <w:r>
        <w:t xml:space="preserve">By December to</w:t>
      </w:r>
      <w:r>
        <w:t xml:space="preserve"> </w:t>
      </w:r>
      <w:r>
        <w:t xml:space="preserve">February most regions are back near normal: Victoria 95%, Tasmania 98%, the</w:t>
      </w:r>
      <w:r>
        <w:t xml:space="preserve"> </w:t>
      </w:r>
      <w:r>
        <w:t xml:space="preserve">Murray-Darling 95%. Western Australia is the exception, running 77% of baseline</w:t>
      </w:r>
      <w:r>
        <w:t xml:space="preserve"> </w:t>
      </w:r>
      <w:r>
        <w:t xml:space="preserve">and below normal in 88% of events — the strongest and most consistent summer</w:t>
      </w:r>
      <w:r>
        <w:t xml:space="preserve"> </w:t>
      </w:r>
      <w:r>
        <w:t xml:space="preserve">signal in the country. The mechanism is tropical cyclones. El Niño suppresses</w:t>
      </w:r>
      <w:r>
        <w:t xml:space="preserve"> </w:t>
      </w:r>
      <w:r>
        <w:t xml:space="preserve">cyclone formation in the Australian region and delays the monsoon onset, and a</w:t>
      </w:r>
      <w:r>
        <w:t xml:space="preserve"> </w:t>
      </w:r>
      <w:r>
        <w:t xml:space="preserve">large share of north-west Western Australia’s annual rainfall arrives in a handful</w:t>
      </w:r>
      <w:r>
        <w:t xml:space="preserve"> </w:t>
      </w:r>
      <w:r>
        <w:t xml:space="preserve">of cyclone and monsoon burst events. Fewer systems means a drier wet season, and</w:t>
      </w:r>
      <w:r>
        <w:t xml:space="preserve"> </w:t>
      </w:r>
      <w:r>
        <w:t xml:space="preserve">the effect shows up in the state average even though south-west WA is barely</w:t>
      </w:r>
      <w:r>
        <w:t xml:space="preserve"> </w:t>
      </w:r>
      <w:r>
        <w:t xml:space="preserve">touched.</w:t>
      </w:r>
    </w:p>
    <w:p>
      <w:pPr>
        <w:pStyle w:val="BodyText"/>
      </w:pPr>
      <w:r>
        <w:t xml:space="preserve">That reversal — the east recovering while the west stays dry — is the sharpest</w:t>
      </w:r>
      <w:r>
        <w:t xml:space="preserve"> </w:t>
      </w:r>
      <w:r>
        <w:t xml:space="preserve">east-west contrast in the record, and it runs opposite to the direction most</w:t>
      </w:r>
      <w:r>
        <w:t xml:space="preserve"> </w:t>
      </w:r>
      <w:r>
        <w:t xml:space="preserve">people would assume.</w:t>
      </w:r>
    </w:p>
    <w:bookmarkEnd w:id="46"/>
    <w:bookmarkStart w:id="51" w:name="the-strength-paradox"/>
    <w:p>
      <w:pPr>
        <w:pStyle w:val="Heading2"/>
      </w:pPr>
      <w:r>
        <w:t xml:space="preserve">4.3 The strength paradox</w:t>
      </w:r>
    </w:p>
    <w:p>
      <w:pPr>
        <w:pStyle w:val="FirstParagraph"/>
      </w:pPr>
      <w:r>
        <w:t xml:space="preserve">The single most decision-relevant result in this note is negative.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50" w:name="fig-strength"/>
          <w:p>
            <w:pPr>
              <w:pStyle w:val="Compact"/>
              <w:jc w:val="center"/>
            </w:pPr>
            <w:r>
              <w:drawing>
                <wp:inline>
                  <wp:extent cx="5334000" cy="2223867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../media/elnino_strength_vs_impact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2223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start"/>
              <w:spacing w:before="200"/>
              <w:pStyle w:val="ImageCaption"/>
            </w:pPr>
            <w:r>
              <w:t xml:space="preserve">Figure 4: Left: spring Niño 3.4 against Australian spring rainfall. Right: the same against spring daytime temperature.</w:t>
            </w:r>
          </w:p>
          <w:bookmarkEnd w:id="50"/>
        </w:tc>
      </w:tr>
    </w:tbl>
    <w:p>
      <w:pPr>
        <w:pStyle w:val="BodyText"/>
      </w:pPr>
      <w:r>
        <w:t xml:space="preserve">Across the 24 events, the correlation between the spring Niño 3.4 anomaly and</w:t>
      </w:r>
      <w:r>
        <w:t xml:space="preserve"> </w:t>
      </w:r>
      <w:r>
        <w:t xml:space="preserve">Australian spring rainfall is</w:t>
      </w:r>
      <w:r>
        <w:t xml:space="preserve"> </w:t>
      </w:r>
      <w:r>
        <w:rPr>
          <w:b/>
          <w:bCs/>
        </w:rPr>
        <w:t xml:space="preserve">−0.04</w:t>
      </w:r>
      <w:r>
        <w:t xml:space="preserve">, with an r² of 0.00. For eastern Australia</w:t>
      </w:r>
      <w:r>
        <w:t xml:space="preserve"> </w:t>
      </w:r>
      <w:r>
        <w:t xml:space="preserve">alone it is −0.03; for the Murray-Darling, −0.01. Knowing how big the Pacific</w:t>
      </w:r>
      <w:r>
        <w:t xml:space="preserve"> </w:t>
      </w:r>
      <w:r>
        <w:t xml:space="preserve">event is tells you essentially nothing about how dry the Australian spring will</w:t>
      </w:r>
      <w:r>
        <w:t xml:space="preserve"> </w:t>
      </w:r>
      <w:r>
        <w:t xml:space="preserve">be.</w:t>
      </w:r>
    </w:p>
    <w:p>
      <w:pPr>
        <w:pStyle w:val="BodyText"/>
      </w:pPr>
      <w:r>
        <w:t xml:space="preserve">The individual events make the point more forcefully than the correlation:</w:t>
      </w:r>
    </w:p>
    <w:p>
      <w:pPr>
        <w:pStyle w:val="BodyText"/>
      </w:pPr>
      <w:r>
        <w:rPr>
          <w:b/>
          <w:bCs/>
        </w:rPr>
        <w:t xml:space="preserve">Selected El Niño events: strength against Australian outcome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2"/>
        <w:gridCol w:w="1957"/>
        <w:gridCol w:w="1423"/>
        <w:gridCol w:w="3915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Event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Spring Niño 3.4 (°C)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Classification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Australian spring rainfall (% of baseline)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1997–98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strong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2015–16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strong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1982–83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strong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2023–24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strong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2002–03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2006–07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weak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2019–20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weak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1976–77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weak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126</w:t>
            </w:r>
          </w:p>
        </w:tc>
      </w:tr>
    </w:tbl>
    <w:p>
      <w:pPr>
        <w:pStyle w:val="BodyText"/>
      </w:pPr>
      <w:r>
        <w:rPr>
          <w:i/>
          <w:iCs/>
        </w:rPr>
        <w:t xml:space="preserve">Source: Author calculations from NOAA CPC ONI and BoM area-averaged rainfall</w:t>
      </w:r>
    </w:p>
    <w:p>
      <w:pPr>
        <w:pStyle w:val="BodyText"/>
      </w:pPr>
      <w:r>
        <w:t xml:space="preserve">The three driest springs in the sample came from a moderate event, a weak event</w:t>
      </w:r>
      <w:r>
        <w:t xml:space="preserve"> </w:t>
      </w:r>
      <w:r>
        <w:t xml:space="preserve">and a marginal one. The strongest event before 2015 produced a near-normal</w:t>
      </w:r>
      <w:r>
        <w:t xml:space="preserve"> </w:t>
      </w:r>
      <w:r>
        <w:t xml:space="preserve">Australian spring, and a wetter-than-normal Murray-Darling. One weak event, 1976,</w:t>
      </w:r>
      <w:r>
        <w:t xml:space="preserve"> </w:t>
      </w:r>
      <w:r>
        <w:t xml:space="preserve">was the wettest spring of the 24.</w:t>
      </w:r>
    </w:p>
    <w:p>
      <w:pPr>
        <w:pStyle w:val="BodyText"/>
      </w:pPr>
      <w:r>
        <w:t xml:space="preserve">There is a plausible physical reading of 1997–98 in particular: the warm anomaly</w:t>
      </w:r>
      <w:r>
        <w:t xml:space="preserve"> </w:t>
      </w:r>
      <w:r>
        <w:t xml:space="preserve">was so far east, and Niño 4 so much cooler by comparison, that the convective</w:t>
      </w:r>
      <w:r>
        <w:t xml:space="preserve"> </w:t>
      </w:r>
      <w:r>
        <w:t xml:space="preserve">displacement never propagated efficiently into the Australian teleconnection. That</w:t>
      </w:r>
      <w:r>
        <w:t xml:space="preserve"> </w:t>
      </w:r>
      <w:r>
        <w:t xml:space="preserve">reading is relevant to 2026, which shares the same east-skewed structure. We flag</w:t>
      </w:r>
      <w:r>
        <w:t xml:space="preserve"> </w:t>
      </w:r>
      <w:r>
        <w:t xml:space="preserve">it as a hypothesis consistent with the mechanism rather than as an established</w:t>
      </w:r>
      <w:r>
        <w:t xml:space="preserve"> </w:t>
      </w:r>
      <w:r>
        <w:t xml:space="preserve">result for this event.</w:t>
      </w:r>
    </w:p>
    <w:p>
      <w:pPr>
        <w:pStyle w:val="BodyText"/>
      </w:pPr>
      <w:r>
        <w:rPr>
          <w:b/>
          <w:bCs/>
        </w:rPr>
        <w:t xml:space="preserve">The opposite holds for heat.</w:t>
      </w:r>
      <w:r>
        <w:t xml:space="preserve"> </w:t>
      </w:r>
      <w:r>
        <w:t xml:space="preserve">The right panel of</w:t>
      </w:r>
      <w:r>
        <w:t xml:space="preserve"> </w:t>
      </w:r>
      <w:hyperlink w:anchor="fig-strength">
        <w:r>
          <w:rPr>
            <w:rStyle w:val="Hyperlink"/>
          </w:rPr>
          <w:t xml:space="preserve">Figure 4</w:t>
        </w:r>
      </w:hyperlink>
      <w:r>
        <w:t xml:space="preserve"> </w:t>
      </w:r>
      <w:r>
        <w:t xml:space="preserve">shows the same</w:t>
      </w:r>
      <w:r>
        <w:t xml:space="preserve"> </w:t>
      </w:r>
      <w:r>
        <w:t xml:space="preserve">scatter against spring daytime maximum temperature: correlation +0.42, r² 0.18.</w:t>
      </w:r>
      <w:r>
        <w:t xml:space="preserve"> </w:t>
      </w:r>
      <w:r>
        <w:t xml:space="preserve">Not a tight relationship, but a real one. Warmth is the dependable part of an El</w:t>
      </w:r>
      <w:r>
        <w:t xml:space="preserve"> </w:t>
      </w:r>
      <w:r>
        <w:t xml:space="preserve">Niño; drought is the contingent part.</w:t>
      </w:r>
    </w:p>
    <w:p>
      <w:pPr>
        <w:pStyle w:val="BodyText"/>
      </w:pPr>
      <w:r>
        <w:t xml:space="preserve">The practical translation for planning: a very strong El Niño is a strong reason</w:t>
      </w:r>
      <w:r>
        <w:t xml:space="preserve"> </w:t>
      </w:r>
      <w:r>
        <w:t xml:space="preserve">to prepare for heat, and only a moderate reason to prepare for drought. The drought</w:t>
      </w:r>
      <w:r>
        <w:t xml:space="preserve"> </w:t>
      </w:r>
      <w:r>
        <w:t xml:space="preserve">case rests on the Indian Ocean and on antecedent soil moisture, not on the size of</w:t>
      </w:r>
      <w:r>
        <w:t xml:space="preserve"> </w:t>
      </w:r>
      <w:r>
        <w:t xml:space="preserve">the Pacific anomaly.</w:t>
      </w:r>
    </w:p>
    <w:bookmarkEnd w:id="51"/>
    <w:bookmarkStart w:id="56" w:name="the-rainfall-footprint"/>
    <w:p>
      <w:pPr>
        <w:pStyle w:val="Heading2"/>
      </w:pPr>
      <w:r>
        <w:t xml:space="preserve">4.4 The rainfall footprint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55" w:name="fig-spring"/>
          <w:p>
            <w:pPr>
              <w:pStyle w:val="Compact"/>
              <w:jc w:val="center"/>
            </w:pPr>
            <w:r>
              <w:drawing>
                <wp:inline>
                  <wp:extent cx="5334000" cy="3151163"/>
                  <wp:effectExtent b="0" l="0" r="0" t="0"/>
                  <wp:docPr descr="" title="" id="53" name="Picture"/>
                  <a:graphic>
                    <a:graphicData uri="http://schemas.openxmlformats.org/drawingml/2006/picture">
                      <pic:pic>
                        <pic:nvPicPr>
                          <pic:cNvPr descr="../media/elnino_spring_rain_region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15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start"/>
              <w:spacing w:before="200"/>
              <w:pStyle w:val="ImageCaption"/>
            </w:pPr>
            <w:r>
              <w:t xml:space="preserve">Figure 5: Rainfall composite by region, all events and the very strong subset.</w:t>
            </w:r>
          </w:p>
          <w:bookmarkEnd w:id="55"/>
        </w:tc>
      </w:tr>
    </w:tbl>
    <w:p>
      <w:pPr>
        <w:pStyle w:val="BodyText"/>
      </w:pPr>
      <w:r>
        <w:rPr>
          <w:b/>
          <w:bCs/>
        </w:rPr>
        <w:t xml:space="preserve">Spring rainfall in El Niño years by region, % of local 31-year trend baseline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892"/>
        <w:gridCol w:w="1673"/>
        <w:gridCol w:w="2007"/>
        <w:gridCol w:w="3346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Region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All 24 events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Five very strong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Share of events below normal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Northern Territory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Queensland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South Australia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Murray-Darling Basin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South Wales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Western Australia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Victoria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Tasmania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Australia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92%</w:t>
            </w:r>
          </w:p>
        </w:tc>
      </w:tr>
    </w:tbl>
    <w:p>
      <w:pPr>
        <w:pStyle w:val="BodyText"/>
      </w:pPr>
      <w:r>
        <w:rPr>
          <w:i/>
          <w:iCs/>
        </w:rPr>
        <w:t xml:space="preserve">Source: Author calculations from BoM area-averaged rainfall and NOAA CPC ONI</w:t>
      </w:r>
    </w:p>
    <w:p>
      <w:pPr>
        <w:pStyle w:val="BodyText"/>
      </w:pPr>
      <w:r>
        <w:t xml:space="preserve">Two columns deserve separate reading. The middle column is</w:t>
      </w:r>
      <w:r>
        <w:t xml:space="preserve"> </w:t>
      </w:r>
      <w:r>
        <w:rPr>
          <w:i/>
          <w:iCs/>
        </w:rPr>
        <w:t xml:space="preserve">how dry</w:t>
      </w:r>
      <w:r>
        <w:t xml:space="preserve">; the right</w:t>
      </w:r>
      <w:r>
        <w:t xml:space="preserve"> </w:t>
      </w:r>
      <w:r>
        <w:t xml:space="preserve">column is</w:t>
      </w:r>
      <w:r>
        <w:t xml:space="preserve"> </w:t>
      </w:r>
      <w:r>
        <w:rPr>
          <w:i/>
          <w:iCs/>
        </w:rPr>
        <w:t xml:space="preserve">how often</w:t>
      </w:r>
      <w:r>
        <w:t xml:space="preserve">. They do not rank the same way, and for planning purposes</w:t>
      </w:r>
      <w:r>
        <w:t xml:space="preserve"> </w:t>
      </w:r>
      <w:r>
        <w:t xml:space="preserve">the right column is often the more useful. Queensland is below normal in 92% of</w:t>
      </w:r>
      <w:r>
        <w:t xml:space="preserve"> </w:t>
      </w:r>
      <w:r>
        <w:t xml:space="preserve">El Niño springs — close to a certainty. Tasmania is below normal in 75% of them,</w:t>
      </w:r>
      <w:r>
        <w:t xml:space="preserve"> </w:t>
      </w:r>
      <w:r>
        <w:t xml:space="preserve">but only by 9% on average, which is well inside ordinary year-to-year variation</w:t>
      </w:r>
      <w:r>
        <w:t xml:space="preserve"> </w:t>
      </w:r>
      <w:r>
        <w:t xml:space="preserve">and would not be noticed without the statistics.</w:t>
      </w:r>
    </w:p>
    <w:p>
      <w:pPr>
        <w:pStyle w:val="BodyText"/>
      </w:pPr>
      <w:r>
        <w:t xml:space="preserve">Note also that the very strong subset is not systematically worse. Queensland,</w:t>
      </w:r>
      <w:r>
        <w:t xml:space="preserve"> </w:t>
      </w:r>
      <w:r>
        <w:t xml:space="preserve">New South Wales and the Murray-Darling all did</w:t>
      </w:r>
      <w:r>
        <w:t xml:space="preserve"> </w:t>
      </w:r>
      <w:r>
        <w:rPr>
          <w:i/>
          <w:iCs/>
        </w:rPr>
        <w:t xml:space="preserve">better</w:t>
      </w:r>
      <w:r>
        <w:t xml:space="preserve"> </w:t>
      </w:r>
      <w:r>
        <w:t xml:space="preserve">in very strong events than</w:t>
      </w:r>
      <w:r>
        <w:t xml:space="preserve"> </w:t>
      </w:r>
      <w:r>
        <w:t xml:space="preserve">in the average event. This is the strength paradox of Section 4.3 appearing at</w:t>
      </w:r>
      <w:r>
        <w:t xml:space="preserve"> </w:t>
      </w:r>
      <w:r>
        <w:t xml:space="preserve">regional level, and it is based on only five events, so it should be read as</w:t>
      </w:r>
      <w:r>
        <w:t xml:space="preserve"> </w:t>
      </w:r>
      <w:r>
        <w:t xml:space="preserve">“no evidence that very strong events are worse”</w:t>
      </w:r>
      <w:r>
        <w:t xml:space="preserve"> </w:t>
      </w:r>
      <w:r>
        <w:t xml:space="preserve">rather than as evidence that they</w:t>
      </w:r>
      <w:r>
        <w:t xml:space="preserve"> </w:t>
      </w:r>
      <w:r>
        <w:t xml:space="preserve">are better.</w:t>
      </w:r>
    </w:p>
    <w:bookmarkEnd w:id="56"/>
    <w:bookmarkStart w:id="61" w:name="heat-and-the-baseline-it-lands-on"/>
    <w:p>
      <w:pPr>
        <w:pStyle w:val="Heading2"/>
      </w:pPr>
      <w:r>
        <w:t xml:space="preserve">4.5 Heat, and the baseline it lands on</w:t>
      </w:r>
    </w:p>
    <w:p>
      <w:pPr>
        <w:pStyle w:val="FirstParagraph"/>
      </w:pPr>
      <w:r>
        <w:t xml:space="preserve">Temperature behaves more predictably than rainfall. Detrended, the spring daytime</w:t>
      </w:r>
      <w:r>
        <w:t xml:space="preserve"> </w:t>
      </w:r>
      <w:r>
        <w:t xml:space="preserve">maximum temperature anomaly in El Niño years averages +0.41 °C nationally, rising</w:t>
      </w:r>
      <w:r>
        <w:t xml:space="preserve"> </w:t>
      </w:r>
      <w:r>
        <w:t xml:space="preserve">to +0.63 °C in the Murray-Darling and +0.62 °C in New South Wales. In very strong</w:t>
      </w:r>
      <w:r>
        <w:t xml:space="preserve"> </w:t>
      </w:r>
      <w:r>
        <w:t xml:space="preserve">events the Murray-Darling figure is +1.30 °C and New South Wales +1.29 °C.</w:t>
      </w:r>
    </w:p>
    <w:p>
      <w:pPr>
        <w:pStyle w:val="BodyText"/>
      </w:pPr>
      <w:r>
        <w:t xml:space="preserve">But detrending is the wrong frame for impact. Fire behaviour, evaporative demand,</w:t>
      </w:r>
      <w:r>
        <w:t xml:space="preserve"> </w:t>
      </w:r>
      <w:r>
        <w:t xml:space="preserve">heat stress in livestock and human heat mortality respond to absolute temperature,</w:t>
      </w:r>
      <w:r>
        <w:t xml:space="preserve"> </w:t>
      </w:r>
      <w:r>
        <w:t xml:space="preserve">and the absolute number is 0.5 to 0.8 °C higher than the detrended figures imply.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60" w:name="fig-heat"/>
          <w:p>
            <w:pPr>
              <w:pStyle w:val="Compact"/>
              <w:jc w:val="center"/>
            </w:pPr>
            <w:r>
              <w:drawing>
                <wp:inline>
                  <wp:extent cx="5334000" cy="2895131"/>
                  <wp:effectExtent b="0" l="0" r="0" t="0"/>
                  <wp:docPr descr="" title="" id="58" name="Picture"/>
                  <a:graphic>
                    <a:graphicData uri="http://schemas.openxmlformats.org/drawingml/2006/picture">
                      <pic:pic>
                        <pic:nvPicPr>
                          <pic:cNvPr descr="../media/elnino_heat_baseline.png" id="5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2895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start"/>
              <w:spacing w:before="200"/>
              <w:pStyle w:val="ImageCaption"/>
            </w:pPr>
            <w:r>
              <w:t xml:space="preserve">Figure 6: The heat in very strong El Niño springs, split into the ENSO signal and the background warming.</w:t>
            </w:r>
          </w:p>
          <w:bookmarkEnd w:id="60"/>
        </w:tc>
      </w:tr>
    </w:tbl>
    <w:p>
      <w:pPr>
        <w:pStyle w:val="BodyText"/>
      </w:pPr>
      <w:r>
        <w:rPr>
          <w:b/>
          <w:bCs/>
        </w:rPr>
        <w:t xml:space="preserve">Spring daytime maximum temperature in very strong El Niño events, °C above the 1961–90 mean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Region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El Niño signal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Background warming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South Wales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Murray-Darling Basin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Victoria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South Australia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Western Australia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+1.46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Queensland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+0.97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Tasmania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Northern Territory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+0.73</w:t>
            </w:r>
          </w:p>
        </w:tc>
      </w:tr>
    </w:tbl>
    <w:p>
      <w:pPr>
        <w:pStyle w:val="BodyText"/>
      </w:pPr>
      <w:r>
        <w:rPr>
          <w:i/>
          <w:iCs/>
        </w:rPr>
        <w:t xml:space="preserve">Source: Author calculations from BoM ACORN-SAT area-averaged maximum temperature.</w:t>
      </w:r>
      <w:r>
        <w:rPr>
          <w:i/>
          <w:iCs/>
        </w:rPr>
        <w:t xml:space="preserve"> </w:t>
      </w:r>
      <w:r>
        <w:rPr>
          <w:i/>
          <w:iCs/>
        </w:rPr>
        <w:t xml:space="preserve">“El Niño signal”</w:t>
      </w:r>
      <w:r>
        <w:rPr>
          <w:i/>
          <w:iCs/>
        </w:rPr>
        <w:t xml:space="preserve"> </w:t>
      </w:r>
      <w:r>
        <w:rPr>
          <w:i/>
          <w:iCs/>
        </w:rPr>
        <w:t xml:space="preserve">is the composite against a 31-year centred baseline;</w:t>
      </w:r>
      <w:r>
        <w:rPr>
          <w:i/>
          <w:iCs/>
        </w:rPr>
        <w:t xml:space="preserve"> </w:t>
      </w:r>
      <w:r>
        <w:rPr>
          <w:i/>
          <w:iCs/>
        </w:rPr>
        <w:t xml:space="preserve">“background</w:t>
      </w:r>
      <w:r>
        <w:rPr>
          <w:i/>
          <w:iCs/>
        </w:rPr>
        <w:t xml:space="preserve"> </w:t>
      </w:r>
      <w:r>
        <w:rPr>
          <w:i/>
          <w:iCs/>
        </w:rPr>
        <w:t xml:space="preserve">warming”</w:t>
      </w:r>
      <w:r>
        <w:rPr>
          <w:i/>
          <w:iCs/>
        </w:rPr>
        <w:t xml:space="preserve"> </w:t>
      </w:r>
      <w:r>
        <w:rPr>
          <w:i/>
          <w:iCs/>
        </w:rPr>
        <w:t xml:space="preserve">is the residual against the fixed 1961–90 mean.</w:t>
      </w:r>
    </w:p>
    <w:p>
      <w:pPr>
        <w:pStyle w:val="BodyText"/>
      </w:pPr>
      <w:r>
        <w:t xml:space="preserve">The share attributable to ENSO ranges from 29% in the Northern Territory to 75% in</w:t>
      </w:r>
      <w:r>
        <w:t xml:space="preserve"> </w:t>
      </w:r>
      <w:r>
        <w:t xml:space="preserve">Tasmania. In the south-east — the region where fire risk and heat mortality are</w:t>
      </w:r>
      <w:r>
        <w:t xml:space="preserve"> </w:t>
      </w:r>
      <w:r>
        <w:t xml:space="preserve">highest — the El Niño contributes rather more than half, and the accumulated</w:t>
      </w:r>
      <w:r>
        <w:t xml:space="preserve"> </w:t>
      </w:r>
      <w:r>
        <w:t xml:space="preserve">warming supplies the rest. A 2026–27 event of the same ENSO magnitude as 2015–16</w:t>
      </w:r>
      <w:r>
        <w:t xml:space="preserve"> </w:t>
      </w:r>
      <w:r>
        <w:t xml:space="preserve">will be hotter in absolute terms than 2015–16 was, because the baseline has kept</w:t>
      </w:r>
      <w:r>
        <w:t xml:space="preserve"> </w:t>
      </w:r>
      <w:r>
        <w:t xml:space="preserve">moving.</w:t>
      </w:r>
    </w:p>
    <w:bookmarkEnd w:id="61"/>
    <w:bookmarkStart w:id="62" w:name="tropical-cyclones-and-the-monsoon"/>
    <w:p>
      <w:pPr>
        <w:pStyle w:val="Heading2"/>
      </w:pPr>
      <w:r>
        <w:t xml:space="preserve">4.6 Tropical cyclones and the monsoon</w:t>
      </w:r>
    </w:p>
    <w:p>
      <w:pPr>
        <w:pStyle w:val="FirstParagraph"/>
      </w:pPr>
      <w:r>
        <w:t xml:space="preserve">Two northern-Australia effects are well established and both work in the direction</w:t>
      </w:r>
      <w:r>
        <w:t xml:space="preserve"> </w:t>
      </w:r>
      <w:r>
        <w:t xml:space="preserve">of reduced hazard, at least from wind and flood.</w:t>
      </w:r>
    </w:p>
    <w:p>
      <w:pPr>
        <w:pStyle w:val="BodyText"/>
      </w:pPr>
      <w:r>
        <w:t xml:space="preserve">El Niño reduces tropical cyclone numbers in the Australian region, with the effect</w:t>
      </w:r>
      <w:r>
        <w:t xml:space="preserve"> </w:t>
      </w:r>
      <w:r>
        <w:t xml:space="preserve">strongest in the eastern sub-region north-east of Queensland, and delays the first</w:t>
      </w:r>
      <w:r>
        <w:t xml:space="preserve"> </w:t>
      </w:r>
      <w:r>
        <w:t xml:space="preserve">coastal crossing, which in El Niño years can be as late as mid-January</w:t>
      </w:r>
      <w:r>
        <w:t xml:space="preserve"> </w:t>
      </w:r>
      <w:r>
        <w:t xml:space="preserve">(Bureau of Meteorology, 2026e)</w:t>
      </w:r>
      <w:r>
        <w:t xml:space="preserve">. Monsoon onset in tropical Australia is typically two to</w:t>
      </w:r>
      <w:r>
        <w:t xml:space="preserve"> </w:t>
      </w:r>
      <w:r>
        <w:t xml:space="preserve">six weeks later than in La Niña years</w:t>
      </w:r>
      <w:r>
        <w:t xml:space="preserve"> </w:t>
      </w:r>
      <w:r>
        <w:t xml:space="preserve">(Bureau of Meteorology, 2026e)</w:t>
      </w:r>
      <w:r>
        <w:t xml:space="preserve">.</w:t>
      </w:r>
    </w:p>
    <w:p>
      <w:pPr>
        <w:pStyle w:val="BodyText"/>
      </w:pPr>
      <w:r>
        <w:t xml:space="preserve">For the north this cuts both ways. Lower cyclone risk means lower expected damage</w:t>
      </w:r>
      <w:r>
        <w:t xml:space="preserve"> </w:t>
      </w:r>
      <w:r>
        <w:t xml:space="preserve">to coastal infrastructure, mining and ports, and fewer flood events. It also means</w:t>
      </w:r>
      <w:r>
        <w:t xml:space="preserve"> </w:t>
      </w:r>
      <w:r>
        <w:t xml:space="preserve">less water: the northern wet season is the recharge mechanism for northern rivers,</w:t>
      </w:r>
      <w:r>
        <w:t xml:space="preserve"> </w:t>
      </w:r>
      <w:r>
        <w:t xml:space="preserve">station water supplies and the Queensland grazing belt, and a late, weak monsoon</w:t>
      </w:r>
      <w:r>
        <w:t xml:space="preserve"> </w:t>
      </w:r>
      <w:r>
        <w:t xml:space="preserve">extends the dry season into a period when pasture and stock water are already</w:t>
      </w:r>
      <w:r>
        <w:t xml:space="preserve"> </w:t>
      </w:r>
      <w:r>
        <w:t xml:space="preserve">depleted by the preceding dry spring.</w:t>
      </w:r>
    </w:p>
    <w:p>
      <w:r>
        <w:pict>
          <v:rect style="width:0;height:1.5pt" o:hralign="center" o:hrstd="t" o:hr="t"/>
        </w:pict>
      </w:r>
    </w:p>
    <w:bookmarkEnd w:id="62"/>
    <w:bookmarkEnd w:id="63"/>
    <w:bookmarkStart w:id="71" w:name="east-and-west-north-and-south"/>
    <w:p>
      <w:pPr>
        <w:pStyle w:val="Heading1"/>
      </w:pPr>
      <w:r>
        <w:t xml:space="preserve">5. East and west, north and south</w:t>
      </w:r>
    </w:p>
    <w:p>
      <w:pPr>
        <w:pStyle w:val="FirstParagraph"/>
      </w:pPr>
      <w:r>
        <w:t xml:space="preserve">The question of how the impact differs across the continent has a clear answer,</w:t>
      </w:r>
      <w:r>
        <w:t xml:space="preserve"> </w:t>
      </w:r>
      <w:r>
        <w:t xml:space="preserve">and it is not a simple two-way split.</w:t>
      </w:r>
      <w:r>
        <w:t xml:space="preserve"> </w:t>
      </w:r>
      <w:hyperlink w:anchor="fig-map">
        <w:r>
          <w:rPr>
            <w:rStyle w:val="Hyperlink"/>
          </w:rPr>
          <w:t xml:space="preserve">Figure 7</w:t>
        </w:r>
      </w:hyperlink>
      <w:r>
        <w:t xml:space="preserve"> </w:t>
      </w:r>
      <w:r>
        <w:t xml:space="preserve">maps rainfall and daytime heat</w:t>
      </w:r>
      <w:r>
        <w:t xml:space="preserve"> </w:t>
      </w:r>
      <w:r>
        <w:t xml:space="preserve">together, by season, from the Bureau’s own 5 km gridded analysis, so the pattern</w:t>
      </w:r>
      <w:r>
        <w:t xml:space="preserve"> </w:t>
      </w:r>
      <w:r>
        <w:t xml:space="preserve">can be seen inside state boundaries.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67" w:name="fig-map"/>
          <w:p>
            <w:pPr>
              <w:pStyle w:val="Compact"/>
              <w:jc w:val="center"/>
            </w:pPr>
            <w:r>
              <w:drawing>
                <wp:inline>
                  <wp:extent cx="5334000" cy="3542878"/>
                  <wp:effectExtent b="0" l="0" r="0" t="0"/>
                  <wp:docPr descr="" title="" id="65" name="Picture"/>
                  <a:graphic>
                    <a:graphicData uri="http://schemas.openxmlformats.org/drawingml/2006/picture">
                      <pic:pic>
                        <pic:nvPicPr>
                          <pic:cNvPr descr="../media/elnino_map_seasonal.png" id="6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542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start"/>
              <w:spacing w:before="200"/>
              <w:pStyle w:val="ImageCaption"/>
            </w:pPr>
            <w:r>
              <w:t xml:space="preserve">Figure 7: What an El Niño year has looked like against an average year: rainfall (top) and daytime maximum temperature (bottom), by season. Median across 23 events, 1951–2019. Stippling marks cells where fewer than 60% of events agreed on the direction.</w:t>
            </w:r>
          </w:p>
          <w:bookmarkEnd w:id="67"/>
        </w:tc>
      </w:tr>
    </w:tbl>
    <w:p>
      <w:pPr>
        <w:pStyle w:val="BodyText"/>
      </w:pPr>
      <w:r>
        <w:t xml:space="preserve">Read the top row left to right and the story of Section 4.2 appears</w:t>
      </w:r>
      <w:r>
        <w:t xml:space="preserve"> </w:t>
      </w:r>
      <w:r>
        <w:t xml:space="preserve">geographically. Winter dries the tropical north and leaves the southern margins</w:t>
      </w:r>
      <w:r>
        <w:t xml:space="preserve"> </w:t>
      </w:r>
      <w:r>
        <w:t xml:space="preserve">alone. Spring spreads the deficit over almost the whole continent. Summer</w:t>
      </w:r>
      <w:r>
        <w:t xml:space="preserve"> </w:t>
      </w:r>
      <w:r>
        <w:t xml:space="preserve">releases the east while the north-west stays dry. The bottom row shows heat</w:t>
      </w:r>
      <w:r>
        <w:t xml:space="preserve"> </w:t>
      </w:r>
      <w:r>
        <w:t xml:space="preserve">building in the opposite direction — weak in winter, strongest in spring across</w:t>
      </w:r>
      <w:r>
        <w:t xml:space="preserve"> </w:t>
      </w:r>
      <w:r>
        <w:t xml:space="preserve">the south-east and in summer across the north.</w:t>
      </w:r>
    </w:p>
    <w:p>
      <w:pPr>
        <w:pStyle w:val="BodyText"/>
      </w:pPr>
      <w:r>
        <w:rPr>
          <w:b/>
          <w:bCs/>
        </w:rPr>
        <w:t xml:space="preserve">Spring rainfall and heat by region box, 23 El Niño events 1951–2019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73"/>
        <w:gridCol w:w="2444"/>
        <w:gridCol w:w="2933"/>
        <w:gridCol w:w="1368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Region box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Rainfall (% of average)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Share of events below normal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Daytime heat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North-east Australia (12–22°S, 142–154°E)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+0.17 °C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Northern Australia (10–20°S)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+0.16 °C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Eastern Australia (140–154°E)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+0.51 °C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North-west WA (15–23°S, 114–129°E)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+0.35 °C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Southern Australia (30–40°S)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+0.53 °C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South-east Australia (33–39°S, 140–152°E)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+0.41 °C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South-west WA (30–35°S, 114–120°E)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+0.46 °C</w:t>
            </w:r>
          </w:p>
        </w:tc>
      </w:tr>
    </w:tbl>
    <w:p>
      <w:pPr>
        <w:pStyle w:val="BodyText"/>
      </w:pPr>
      <w:r>
        <w:rPr>
          <w:i/>
          <w:iCs/>
        </w:rPr>
        <w:t xml:space="preserve">Source: Author calculations from Bureau of Meteorology AGCD gridded analysis,</w:t>
      </w:r>
      <w:r>
        <w:rPr>
          <w:i/>
          <w:iCs/>
        </w:rPr>
        <w:t xml:space="preserve"> </w:t>
      </w:r>
      <w:r>
        <w:rPr>
          <w:i/>
          <w:iCs/>
        </w:rPr>
        <w:t xml:space="preserve">area-weighted. Cross-checked against the independent GPCC gauge analysis, which</w:t>
      </w:r>
      <w:r>
        <w:rPr>
          <w:i/>
          <w:iCs/>
        </w:rPr>
        <w:t xml:space="preserve"> </w:t>
      </w:r>
      <w:r>
        <w:rPr>
          <w:i/>
          <w:iCs/>
        </w:rPr>
        <w:t xml:space="preserve">agrees within 2–6 percentage points on every box.</w:t>
      </w:r>
    </w:p>
    <w:bookmarkStart w:id="68" w:name="north-versus-south"/>
    <w:p>
      <w:pPr>
        <w:pStyle w:val="Heading2"/>
      </w:pPr>
      <w:r>
        <w:t xml:space="preserve">5.1 North versus south</w:t>
      </w:r>
    </w:p>
    <w:p>
      <w:pPr>
        <w:pStyle w:val="FirstParagraph"/>
      </w:pPr>
      <w:r>
        <w:t xml:space="preserve">This is the stronger of the two axes. Northern Australia in spring runs at 55% of</w:t>
      </w:r>
      <w:r>
        <w:t xml:space="preserve"> </w:t>
      </w:r>
      <w:r>
        <w:t xml:space="preserve">average against 70% in the south, and the north-east corner — the Queensland</w:t>
      </w:r>
      <w:r>
        <w:t xml:space="preserve"> </w:t>
      </w:r>
      <w:r>
        <w:t xml:space="preserve">tropics and the Gulf country — is the driest region in the country at 43%, below</w:t>
      </w:r>
      <w:r>
        <w:t xml:space="preserve"> </w:t>
      </w:r>
      <w:r>
        <w:t xml:space="preserve">normal in 90% of events.</w:t>
      </w:r>
    </w:p>
    <w:p>
      <w:pPr>
        <w:pStyle w:val="BodyText"/>
      </w:pPr>
      <w:r>
        <w:t xml:space="preserve">The mechanism is direct. The tropical north sits closest to the displaced Walker</w:t>
      </w:r>
      <w:r>
        <w:t xml:space="preserve"> </w:t>
      </w:r>
      <w:r>
        <w:t xml:space="preserve">circulation, so it feels the suppressed convection first and hardest. Southern</w:t>
      </w:r>
      <w:r>
        <w:t xml:space="preserve"> </w:t>
      </w:r>
      <w:r>
        <w:t xml:space="preserve">Australia is reached only indirectly, through changes in the subtropical ridge and</w:t>
      </w:r>
      <w:r>
        <w:t xml:space="preserve"> </w:t>
      </w:r>
      <w:r>
        <w:t xml:space="preserve">through the north-west cloud bands that the Indian Ocean Dipole controls. That is</w:t>
      </w:r>
      <w:r>
        <w:t xml:space="preserve"> </w:t>
      </w:r>
      <w:r>
        <w:t xml:space="preserve">precisely why the southern signal is contingent on the IOD and the northern signal</w:t>
      </w:r>
      <w:r>
        <w:t xml:space="preserve"> </w:t>
      </w:r>
      <w:r>
        <w:t xml:space="preserve">is not.</w:t>
      </w:r>
    </w:p>
    <w:bookmarkEnd w:id="68"/>
    <w:bookmarkStart w:id="69" w:name="east-versus-west"/>
    <w:p>
      <w:pPr>
        <w:pStyle w:val="Heading2"/>
      </w:pPr>
      <w:r>
        <w:t xml:space="preserve">5.2 East versus west</w:t>
      </w:r>
    </w:p>
    <w:p>
      <w:pPr>
        <w:pStyle w:val="FirstParagraph"/>
      </w:pPr>
      <w:r>
        <w:t xml:space="preserve">This axis is weaker at the continental scale, and it inverts by season.</w:t>
      </w:r>
    </w:p>
    <w:p>
      <w:pPr>
        <w:pStyle w:val="BodyText"/>
      </w:pPr>
      <w:r>
        <w:t xml:space="preserve">In spring, eastern Australia (59% of average, 79% of events dry) is drier than</w:t>
      </w:r>
      <w:r>
        <w:t xml:space="preserve"> </w:t>
      </w:r>
      <w:r>
        <w:t xml:space="preserve">western Australia’s coastal south-west (84%, 65%). South-west Western Australia is</w:t>
      </w:r>
      <w:r>
        <w:t xml:space="preserve"> </w:t>
      </w:r>
      <w:r>
        <w:t xml:space="preserve">the least ENSO-sensitive agricultural region in the country. Its winter rainfall is</w:t>
      </w:r>
      <w:r>
        <w:t xml:space="preserve"> </w:t>
      </w:r>
      <w:r>
        <w:t xml:space="preserve">governed by the Southern Annular Mode, by the subtropical ridge position and by</w:t>
      </w:r>
      <w:r>
        <w:t xml:space="preserve"> </w:t>
      </w:r>
      <w:r>
        <w:t xml:space="preserve">the long-term drying trend that has already removed roughly a fifth of its</w:t>
      </w:r>
      <w:r>
        <w:t xml:space="preserve"> </w:t>
      </w:r>
      <w:r>
        <w:t xml:space="preserve">May–July rainfall since the 1970s — a trend that is not an ENSO phenomenon and</w:t>
      </w:r>
      <w:r>
        <w:t xml:space="preserve"> </w:t>
      </w:r>
      <w:r>
        <w:t xml:space="preserve">does not reverse in La Niña years.</w:t>
      </w:r>
    </w:p>
    <w:p>
      <w:pPr>
        <w:pStyle w:val="BodyText"/>
      </w:pPr>
      <w:r>
        <w:t xml:space="preserve">In summer the ranking flips. North-west Western Australia is dry in El Niño summers</w:t>
      </w:r>
      <w:r>
        <w:t xml:space="preserve"> </w:t>
      </w:r>
      <w:r>
        <w:t xml:space="preserve">because the monsoon and cyclones fail; eastern Australia has largely recovered.</w:t>
      </w:r>
      <w:r>
        <w:t xml:space="preserve"> </w:t>
      </w:r>
      <w:r>
        <w:t xml:space="preserve">This is why the state-level Western Australian figures look contradictory across</w:t>
      </w:r>
      <w:r>
        <w:t xml:space="preserve"> </w:t>
      </w:r>
      <w:hyperlink w:anchor="fig-seasons">
        <w:r>
          <w:rPr>
            <w:rStyle w:val="Hyperlink"/>
          </w:rPr>
          <w:t xml:space="preserve">Figure 3</w:t>
        </w:r>
      </w:hyperlink>
      <w:r>
        <w:t xml:space="preserve">: the state contains both the least ENSO-sensitive region in the</w:t>
      </w:r>
      <w:r>
        <w:t xml:space="preserve"> </w:t>
      </w:r>
      <w:r>
        <w:t xml:space="preserve">country and one of the most, in different seasons.</w:t>
      </w:r>
    </w:p>
    <w:bookmarkEnd w:id="69"/>
    <w:bookmarkStart w:id="70" w:name="the-synthesis"/>
    <w:p>
      <w:pPr>
        <w:pStyle w:val="Heading2"/>
      </w:pPr>
      <w:r>
        <w:t xml:space="preserve">5.3 The synthesis</w:t>
      </w:r>
    </w:p>
    <w:p>
      <w:pPr>
        <w:pStyle w:val="FirstParagraph"/>
      </w:pPr>
      <w:r>
        <w:t xml:space="preserve">Four practical categories: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Reliably and severely affected:</w:t>
      </w:r>
      <w:r>
        <w:t xml:space="preserve"> </w:t>
      </w:r>
      <w:r>
        <w:t xml:space="preserve">Queensland (especially the tropics, Gulf and</w:t>
      </w:r>
      <w:r>
        <w:t xml:space="preserve"> </w:t>
      </w:r>
      <w:r>
        <w:t xml:space="preserve">the southern grain belt), the Northern Territory, inland northern New South</w:t>
      </w:r>
      <w:r>
        <w:t xml:space="preserve"> </w:t>
      </w:r>
      <w:r>
        <w:t xml:space="preserve">Wales. Dry in winter and spring, high consistency, largely independent of the</w:t>
      </w:r>
      <w:r>
        <w:t xml:space="preserve"> </w:t>
      </w:r>
      <w:r>
        <w:t xml:space="preserve">Indian Ocean.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Conditionally affected:</w:t>
      </w:r>
      <w:r>
        <w:t xml:space="preserve"> </w:t>
      </w:r>
      <w:r>
        <w:t xml:space="preserve">Victoria, South Australia, the southern</w:t>
      </w:r>
      <w:r>
        <w:t xml:space="preserve"> </w:t>
      </w:r>
      <w:r>
        <w:t xml:space="preserve">Murray-Darling, southern New South Wales. Dry in spring</w:t>
      </w:r>
      <w:r>
        <w:t xml:space="preserve"> </w:t>
      </w:r>
      <w:r>
        <w:rPr>
          <w:i/>
          <w:iCs/>
        </w:rPr>
        <w:t xml:space="preserve">if</w:t>
      </w:r>
      <w:r>
        <w:t xml:space="preserve"> </w:t>
      </w:r>
      <w:r>
        <w:t xml:space="preserve">a positive Indian</w:t>
      </w:r>
      <w:r>
        <w:t xml:space="preserve"> </w:t>
      </w:r>
      <w:r>
        <w:t xml:space="preserve">Ocean Dipole develops; close to normal if it does not.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Seasonally affected:</w:t>
      </w:r>
      <w:r>
        <w:t xml:space="preserve"> </w:t>
      </w:r>
      <w:r>
        <w:t xml:space="preserve">north-west Western Australia. Effect concentrated in</w:t>
      </w:r>
      <w:r>
        <w:t xml:space="preserve"> </w:t>
      </w:r>
      <w:r>
        <w:t xml:space="preserve">summer through suppressed cyclones and delayed monsoon.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Weakly affected:</w:t>
      </w:r>
      <w:r>
        <w:t xml:space="preserve"> </w:t>
      </w:r>
      <w:r>
        <w:t xml:space="preserve">Tasmania, south-west Western Australia. Detectable in the</w:t>
      </w:r>
      <w:r>
        <w:t xml:space="preserve"> </w:t>
      </w:r>
      <w:r>
        <w:t xml:space="preserve">statistics, small in magnitude, dominated by other drivers.</w:t>
      </w:r>
    </w:p>
    <w:p>
      <w:r>
        <w:pict>
          <v:rect style="width:0;height:1.5pt" o:hralign="center" o:hrstd="t" o:hr="t"/>
        </w:pict>
      </w:r>
    </w:p>
    <w:bookmarkEnd w:id="70"/>
    <w:bookmarkEnd w:id="71"/>
    <w:bookmarkStart w:id="72" w:name="where-australia-starts-from-in-2026"/>
    <w:p>
      <w:pPr>
        <w:pStyle w:val="Heading1"/>
      </w:pPr>
      <w:r>
        <w:t xml:space="preserve">6. Where Australia starts from in 2026</w:t>
      </w:r>
    </w:p>
    <w:p>
      <w:pPr>
        <w:pStyle w:val="FirstParagraph"/>
      </w:pPr>
      <w:r>
        <w:t xml:space="preserve">Antecedent conditions modulate the impact of a given rainfall deficit more than</w:t>
      </w:r>
      <w:r>
        <w:t xml:space="preserve"> </w:t>
      </w:r>
      <w:r>
        <w:t xml:space="preserve">the deficit itself does. A 25% spring rainfall shortfall on a full soil profile is</w:t>
      </w:r>
      <w:r>
        <w:t xml:space="preserve"> </w:t>
      </w:r>
      <w:r>
        <w:t xml:space="preserve">a yield reduction; the same shortfall on an empty profile is a crop failure.</w:t>
      </w:r>
    </w:p>
    <w:p>
      <w:pPr>
        <w:pStyle w:val="BodyText"/>
      </w:pPr>
      <w:r>
        <w:t xml:space="preserve">The starting position going into this event is split along the same line as the</w:t>
      </w:r>
      <w:r>
        <w:t xml:space="preserve"> </w:t>
      </w:r>
      <w:r>
        <w:t xml:space="preserve">climatology in Section 5.</w:t>
      </w:r>
    </w:p>
    <w:p>
      <w:pPr>
        <w:pStyle w:val="BodyText"/>
      </w:pPr>
      <w:r>
        <w:t xml:space="preserve">ABARES reported in June 2026 that</w:t>
      </w:r>
      <w:r>
        <w:t xml:space="preserve"> </w:t>
      </w:r>
      <w:r>
        <w:t xml:space="preserve">“extremely dry conditions across northern New</w:t>
      </w:r>
      <w:r>
        <w:t xml:space="preserve"> </w:t>
      </w:r>
      <w:r>
        <w:t xml:space="preserve">South Wales and southern Queensland up until mid-May had resulted in very low soil</w:t>
      </w:r>
      <w:r>
        <w:t xml:space="preserve"> </w:t>
      </w:r>
      <w:r>
        <w:t xml:space="preserve">moisture levels”</w:t>
      </w:r>
      <w:r>
        <w:t xml:space="preserve">, with rainfall in the New South Wales North West, Northern</w:t>
      </w:r>
      <w:r>
        <w:t xml:space="preserve"> </w:t>
      </w:r>
      <w:r>
        <w:t xml:space="preserve">Tablelands, Central West and northern Riverina</w:t>
      </w:r>
      <w:r>
        <w:t xml:space="preserve"> </w:t>
      </w:r>
      <w:r>
        <w:t xml:space="preserve">“below the 20th percentile in the</w:t>
      </w:r>
      <w:r>
        <w:t xml:space="preserve"> </w:t>
      </w:r>
      <w:r>
        <w:t xml:space="preserve">year to mid-May”</w:t>
      </w:r>
      <w:r>
        <w:t xml:space="preserve">. Against that,</w:t>
      </w:r>
      <w:r>
        <w:t xml:space="preserve"> </w:t>
      </w:r>
      <w:r>
        <w:t xml:space="preserve">“average to very much above average February to</w:t>
      </w:r>
      <w:r>
        <w:t xml:space="preserve"> </w:t>
      </w:r>
      <w:r>
        <w:t xml:space="preserve">April rainfall across major cropping regions of southern Western Australia, South</w:t>
      </w:r>
      <w:r>
        <w:t xml:space="preserve"> </w:t>
      </w:r>
      <w:r>
        <w:t xml:space="preserve">Australia and Victoria”</w:t>
      </w:r>
      <w:r>
        <w:t xml:space="preserve"> </w:t>
      </w:r>
      <w:r>
        <w:t xml:space="preserve">supported close to normal planting in the south</w:t>
      </w:r>
      <w:r>
        <w:t xml:space="preserve"> </w:t>
      </w:r>
      <w:r>
        <w:t xml:space="preserve">(ABARES, 2026)</w:t>
      </w:r>
      <w:r>
        <w:t xml:space="preserve">.</w:t>
      </w:r>
    </w:p>
    <w:p>
      <w:pPr>
        <w:pStyle w:val="BodyText"/>
      </w:pPr>
      <w:r>
        <w:t xml:space="preserve">The consequences are already in the crop forecasts, and the two halves of the</w:t>
      </w:r>
      <w:r>
        <w:t xml:space="preserve"> </w:t>
      </w:r>
      <w:r>
        <w:t xml:space="preserve">country are more than 30 percentage points apart:</w:t>
      </w:r>
    </w:p>
    <w:p>
      <w:pPr>
        <w:pStyle w:val="BodyText"/>
      </w:pPr>
      <w:r>
        <w:rPr>
          <w:b/>
          <w:bCs/>
        </w:rPr>
        <w:t xml:space="preserve">ABARES winter crop production forecast, 2026–27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State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Production (Mt)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Change on 2025–26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South Wales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−37%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Queensland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−38%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Western Australia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−21%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Victoria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−4%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South Australia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Australia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54.5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−21%</w:t>
            </w:r>
          </w:p>
        </w:tc>
      </w:tr>
    </w:tbl>
    <w:p>
      <w:pPr>
        <w:pStyle w:val="BodyText"/>
      </w:pPr>
      <w:r>
        <w:rPr>
          <w:i/>
          <w:iCs/>
        </w:rPr>
        <w:t xml:space="preserve">Source: ABARES Australian Crop Report, June 2026</w:t>
      </w:r>
      <w:r>
        <w:rPr>
          <w:i/>
          <w:iCs/>
        </w:rPr>
        <w:t xml:space="preserve"> </w:t>
      </w:r>
      <w:r>
        <w:rPr>
          <w:i/>
          <w:iCs/>
        </w:rPr>
        <w:t xml:space="preserve">(ABARES, 2026)</w:t>
      </w:r>
    </w:p>
    <w:p>
      <w:pPr>
        <w:pStyle w:val="BodyText"/>
      </w:pPr>
      <w:r>
        <w:t xml:space="preserve">Three points about this table matter for interpretation.</w:t>
      </w:r>
    </w:p>
    <w:p>
      <w:pPr>
        <w:pStyle w:val="BodyText"/>
      </w:pPr>
      <w:r>
        <w:t xml:space="preserve">First, the eastern states have already taken their hit, and it happened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the El Niño was declared. The −37% and −38% figures are the consequence of an</w:t>
      </w:r>
      <w:r>
        <w:t xml:space="preserve"> </w:t>
      </w:r>
      <w:r>
        <w:t xml:space="preserve">autumn drought in the northern cropping zone, not of the Pacific.</w:t>
      </w:r>
    </w:p>
    <w:p>
      <w:pPr>
        <w:pStyle w:val="BodyText"/>
      </w:pPr>
      <w:r>
        <w:t xml:space="preserve">Second, the southern states have not. Victoria at −4% and South Australia flat</w:t>
      </w:r>
      <w:r>
        <w:t xml:space="preserve"> </w:t>
      </w:r>
      <w:r>
        <w:t xml:space="preserve">reflect a good autumn break. Those crops are in the ground with moisture beneath</w:t>
      </w:r>
      <w:r>
        <w:t xml:space="preserve"> </w:t>
      </w:r>
      <w:r>
        <w:t xml:space="preserve">them and are now exposed to exactly the spring outcome that Section 3.3 says</w:t>
      </w:r>
      <w:r>
        <w:t xml:space="preserve"> </w:t>
      </w:r>
      <w:r>
        <w:t xml:space="preserve">depends on the Indian Ocean Dipole.</w:t>
      </w:r>
    </w:p>
    <w:p>
      <w:pPr>
        <w:pStyle w:val="BodyText"/>
      </w:pPr>
      <w:r>
        <w:t xml:space="preserve">Third, the forecast is stale in a specific way. ABARES built it on the Bureau’s</w:t>
      </w:r>
      <w:r>
        <w:t xml:space="preserve"> </w:t>
      </w:r>
      <w:r>
        <w:t xml:space="preserve">three-month outlook issued 21 May 2026, which gave a</w:t>
      </w:r>
      <w:r>
        <w:t xml:space="preserve"> </w:t>
      </w:r>
      <w:r>
        <w:t xml:space="preserve">“60% to 80% chance that</w:t>
      </w:r>
      <w:r>
        <w:t xml:space="preserve"> </w:t>
      </w:r>
      <w:r>
        <w:t xml:space="preserve">winter rainfall will be below average”</w:t>
      </w:r>
      <w:r>
        <w:t xml:space="preserve"> </w:t>
      </w:r>
      <w:r>
        <w:t xml:space="preserve">across the cropping regions, and noted only</w:t>
      </w:r>
      <w:r>
        <w:t xml:space="preserve"> </w:t>
      </w:r>
      <w:r>
        <w:t xml:space="preserve">“an increasing chance of an El Niño and/or positive IOD event emerging throughout</w:t>
      </w:r>
      <w:r>
        <w:t xml:space="preserve"> </w:t>
      </w:r>
      <w:r>
        <w:t xml:space="preserve">2026”</w:t>
      </w:r>
      <w:r>
        <w:t xml:space="preserve"> </w:t>
      </w:r>
      <w:r>
        <w:t xml:space="preserve">(ABARES, 2026)</w:t>
      </w:r>
      <w:r>
        <w:t xml:space="preserve">. The event has since been declared. The September</w:t>
      </w:r>
      <w:r>
        <w:t xml:space="preserve"> </w:t>
      </w:r>
      <w:r>
        <w:t xml:space="preserve">crop report is the first one that will carry it.</w:t>
      </w:r>
    </w:p>
    <w:p>
      <w:pPr>
        <w:pStyle w:val="BodyText"/>
      </w:pPr>
      <w:r>
        <w:t xml:space="preserve">The Bureau’s long-range forecast issued 30 July 2026 for August to October is</w:t>
      </w:r>
      <w:r>
        <w:t xml:space="preserve"> </w:t>
      </w:r>
      <w:r>
        <w:t xml:space="preserve">“Below average August to October rainfall likely across the south-west and east;</w:t>
      </w:r>
      <w:r>
        <w:t xml:space="preserve"> </w:t>
      </w:r>
      <w:r>
        <w:t xml:space="preserve">above average in the north-west”</w:t>
      </w:r>
      <w:r>
        <w:t xml:space="preserve"> </w:t>
      </w:r>
      <w:r>
        <w:t xml:space="preserve">and</w:t>
      </w:r>
      <w:r>
        <w:t xml:space="preserve"> </w:t>
      </w:r>
      <w:r>
        <w:t xml:space="preserve">“Above average temperatures likely across</w:t>
      </w:r>
      <w:r>
        <w:t xml:space="preserve"> </w:t>
      </w:r>
      <w:r>
        <w:t xml:space="preserve">much of Australia”</w:t>
      </w:r>
      <w:r>
        <w:t xml:space="preserve">, with an elevated risk of unusually dry conditions in the</w:t>
      </w:r>
      <w:r>
        <w:t xml:space="preserve"> </w:t>
      </w:r>
      <w:r>
        <w:t xml:space="preserve">south-east and south-west where longer-term deficits already exist, and a greater</w:t>
      </w:r>
      <w:r>
        <w:t xml:space="preserve"> </w:t>
      </w:r>
      <w:r>
        <w:t xml:space="preserve">than 80% chance of unusually high maximum temperatures in western Western</w:t>
      </w:r>
      <w:r>
        <w:t xml:space="preserve"> </w:t>
      </w:r>
      <w:r>
        <w:t xml:space="preserve">Australia and the south-east</w:t>
      </w:r>
      <w:r>
        <w:t xml:space="preserve"> </w:t>
      </w:r>
      <w:r>
        <w:t xml:space="preserve">(Bureau of Meteorology, 2026b)</w:t>
      </w:r>
      <w:r>
        <w:t xml:space="preserve">.</w:t>
      </w:r>
    </w:p>
    <w:p>
      <w:pPr>
        <w:pStyle w:val="BodyText"/>
      </w:pPr>
      <w:r>
        <w:t xml:space="preserve">Two features of that outlook are worth flagging. The above-average signal for</w:t>
      </w:r>
      <w:r>
        <w:t xml:space="preserve"> </w:t>
      </w:r>
      <w:r>
        <w:t xml:space="preserve">north-west Australia runs against the classical El Niño expectation and reflects</w:t>
      </w:r>
      <w:r>
        <w:t xml:space="preserve"> </w:t>
      </w:r>
      <w:r>
        <w:t xml:space="preserve">the very warm surrounding ocean. And the below-average signal for the south-west</w:t>
      </w:r>
      <w:r>
        <w:t xml:space="preserve"> </w:t>
      </w:r>
      <w:r>
        <w:t xml:space="preserve">is not primarily an ENSO signal — Section 5.2 — but it compounds an existing</w:t>
      </w:r>
      <w:r>
        <w:t xml:space="preserve"> </w:t>
      </w:r>
      <w:r>
        <w:t xml:space="preserve">deficit.</w:t>
      </w:r>
    </w:p>
    <w:p>
      <w:pPr>
        <w:pStyle w:val="BodyText"/>
      </w:pPr>
      <w:r>
        <w:t xml:space="preserve">On water, storage across the southern Murray-Darling has been drawn down over two</w:t>
      </w:r>
      <w:r>
        <w:t xml:space="preserve"> </w:t>
      </w:r>
      <w:r>
        <w:t xml:space="preserve">years and sits below the long-term average for the time of year. Menindee Lakes,</w:t>
      </w:r>
      <w:r>
        <w:t xml:space="preserve"> </w:t>
      </w:r>
      <w:r>
        <w:t xml:space="preserve">the supply buffer for Broken Hill and the lower Darling, was reported at 33% and</w:t>
      </w:r>
      <w:r>
        <w:t xml:space="preserve"> </w:t>
      </w:r>
      <w:r>
        <w:t xml:space="preserve">falling; Blowering at 25%; Wyangala at 61%. The 2026–27 opening allocation</w:t>
      </w:r>
      <w:r>
        <w:t xml:space="preserve"> </w:t>
      </w:r>
      <w:r>
        <w:t xml:space="preserve">projection for South Australia was 62% of entitlement, with 100% reached by year</w:t>
      </w:r>
      <w:r>
        <w:t xml:space="preserve"> </w:t>
      </w:r>
      <w:r>
        <w:t xml:space="preserve">end under wet, average and moderate inflow scenarios but not under dry or extreme</w:t>
      </w:r>
      <w:r>
        <w:t xml:space="preserve"> </w:t>
      </w:r>
      <w:r>
        <w:t xml:space="preserve">dry ones</w:t>
      </w:r>
      <w:r>
        <w:t xml:space="preserve"> </w:t>
      </w:r>
      <w:r>
        <w:t xml:space="preserve">(Australian Rural and Regional News, 2026)</w:t>
      </w:r>
      <w:r>
        <w:t xml:space="preserve">. The Darling catchment draws from southern Queensland</w:t>
      </w:r>
      <w:r>
        <w:t xml:space="preserve"> </w:t>
      </w:r>
      <w:r>
        <w:t xml:space="preserve">and northern New South Wales — the part of the country where the El Niño signal is</w:t>
      </w:r>
      <w:r>
        <w:t xml:space="preserve"> </w:t>
      </w:r>
      <w:r>
        <w:t xml:space="preserve">least conditional.</w:t>
      </w:r>
    </w:p>
    <w:p>
      <w:r>
        <w:pict>
          <v:rect style="width:0;height:1.5pt" o:hralign="center" o:hrstd="t" o:hr="t"/>
        </w:pict>
      </w:r>
    </w:p>
    <w:bookmarkEnd w:id="72"/>
    <w:bookmarkStart w:id="80" w:name="consequences-by-sector"/>
    <w:p>
      <w:pPr>
        <w:pStyle w:val="Heading1"/>
      </w:pPr>
      <w:r>
        <w:t xml:space="preserve">7. Consequences by sector</w:t>
      </w:r>
    </w:p>
    <w:bookmarkStart w:id="73" w:name="agriculture"/>
    <w:p>
      <w:pPr>
        <w:pStyle w:val="Heading2"/>
      </w:pPr>
      <w:r>
        <w:t xml:space="preserve">7.1 Agriculture</w:t>
      </w:r>
    </w:p>
    <w:p>
      <w:pPr>
        <w:pStyle w:val="FirstParagraph"/>
      </w:pPr>
      <w:r>
        <w:t xml:space="preserve">Grain is the most exposed sector and the one where the mechanism is best</w:t>
      </w:r>
      <w:r>
        <w:t xml:space="preserve"> </w:t>
      </w:r>
      <w:r>
        <w:t xml:space="preserve">understood. Yield in the Australian winter crop is set principally by</w:t>
      </w:r>
      <w:r>
        <w:t xml:space="preserve"> </w:t>
      </w:r>
      <w:r>
        <w:t xml:space="preserve">August–October rainfall, which arrives during grain fill. This is precisely the</w:t>
      </w:r>
      <w:r>
        <w:t xml:space="preserve"> </w:t>
      </w:r>
      <w:r>
        <w:t xml:space="preserve">window in which the El Niño signal is strongest.</w:t>
      </w:r>
    </w:p>
    <w:p>
      <w:pPr>
        <w:pStyle w:val="BodyText"/>
      </w:pPr>
      <w:r>
        <w:t xml:space="preserve">The historical range is wide. In 2002–03 farm gross domestic product fell 24.8%</w:t>
      </w:r>
      <w:r>
        <w:t xml:space="preserve"> </w:t>
      </w:r>
      <w:r>
        <w:t xml:space="preserve">and the drought subtracted around 0.9 percentage points from national GDP growth</w:t>
      </w:r>
      <w:r>
        <w:t xml:space="preserve"> </w:t>
      </w:r>
      <w:r>
        <w:t xml:space="preserve">(Australian Treasury, 2004)</w:t>
      </w:r>
      <w:r>
        <w:t xml:space="preserve">. In 2006–07, wheat, barley and canola production fell by</w:t>
      </w:r>
      <w:r>
        <w:t xml:space="preserve"> </w:t>
      </w:r>
      <w:r>
        <w:t xml:space="preserve">more than 60% and the reduction in economic growth was estimated at 0.5 to 0.75</w:t>
      </w:r>
      <w:r>
        <w:t xml:space="preserve"> </w:t>
      </w:r>
      <w:r>
        <w:t xml:space="preserve">percentage points. Both were moderate-to-weak El Niño events by Pacific standards.</w:t>
      </w:r>
      <w:r>
        <w:t xml:space="preserve"> </w:t>
      </w:r>
      <w:r>
        <w:t xml:space="preserve">The 1997–98 very strong event produced no comparable agricultural shock.</w:t>
      </w:r>
    </w:p>
    <w:p>
      <w:pPr>
        <w:pStyle w:val="BodyText"/>
      </w:pPr>
      <w:r>
        <w:t xml:space="preserve">For 2026–27 the position is asymmetric. The northern crop is already written down</w:t>
      </w:r>
      <w:r>
        <w:t xml:space="preserve"> </w:t>
      </w:r>
      <w:r>
        <w:t xml:space="preserve">and further deterioration has limited additional room to fall — an area not planted</w:t>
      </w:r>
      <w:r>
        <w:t xml:space="preserve"> </w:t>
      </w:r>
      <w:r>
        <w:t xml:space="preserve">cannot fail. The southern crop is where the remaining downside sits: 40.3 Mt of</w:t>
      </w:r>
      <w:r>
        <w:t xml:space="preserve"> </w:t>
      </w:r>
      <w:r>
        <w:t xml:space="preserve">the 54.5 Mt national forecast comes from Western Australia, Victoria and South</w:t>
      </w:r>
      <w:r>
        <w:t xml:space="preserve"> </w:t>
      </w:r>
      <w:r>
        <w:t xml:space="preserve">Australia, and those crops depend on spring finishing rain. A positive Indian Ocean</w:t>
      </w:r>
      <w:r>
        <w:t xml:space="preserve"> </w:t>
      </w:r>
      <w:r>
        <w:t xml:space="preserve">Dipole is the specific event that would convert the current forecast into a</w:t>
      </w:r>
      <w:r>
        <w:t xml:space="preserve"> </w:t>
      </w:r>
      <w:r>
        <w:t xml:space="preserve">materially worse one.</w:t>
      </w:r>
    </w:p>
    <w:p>
      <w:pPr>
        <w:pStyle w:val="BodyText"/>
      </w:pPr>
      <w:r>
        <w:t xml:space="preserve">Livestock follows a different and slower path. Reduced pasture growth through</w:t>
      </w:r>
      <w:r>
        <w:t xml:space="preserve"> </w:t>
      </w:r>
      <w:r>
        <w:t xml:space="preserve">spring forces supplementary feeding, then destocking. Destocking floods the market</w:t>
      </w:r>
      <w:r>
        <w:t xml:space="preserve"> </w:t>
      </w:r>
      <w:r>
        <w:t xml:space="preserve">and depresses prices at the moment producers most need revenue, then constrains</w:t>
      </w:r>
      <w:r>
        <w:t xml:space="preserve"> </w:t>
      </w:r>
      <w:r>
        <w:t xml:space="preserve">the herd rebuild for three to five years afterwards. The northern beef herd, in</w:t>
      </w:r>
      <w:r>
        <w:t xml:space="preserve"> </w:t>
      </w:r>
      <w:r>
        <w:t xml:space="preserve">Queensland and the Northern Territory, sits in the region with the highest and</w:t>
      </w:r>
      <w:r>
        <w:t xml:space="preserve"> </w:t>
      </w:r>
      <w:r>
        <w:t xml:space="preserve">most consistent El Niño signal.</w:t>
      </w:r>
    </w:p>
    <w:p>
      <w:pPr>
        <w:pStyle w:val="BodyText"/>
      </w:pPr>
      <w:r>
        <w:t xml:space="preserve">Horticulture and irrigated agriculture are exposed through allocations rather than</w:t>
      </w:r>
      <w:r>
        <w:t xml:space="preserve"> </w:t>
      </w:r>
      <w:r>
        <w:t xml:space="preserve">rainfall directly, with a one-season lag: it is the</w:t>
      </w:r>
      <w:r>
        <w:t xml:space="preserve"> </w:t>
      </w:r>
      <w:r>
        <w:rPr>
          <w:i/>
          <w:iCs/>
        </w:rPr>
        <w:t xml:space="preserve">following</w:t>
      </w:r>
      <w:r>
        <w:t xml:space="preserve"> </w:t>
      </w:r>
      <w:r>
        <w:t xml:space="preserve">year’s allocation</w:t>
      </w:r>
      <w:r>
        <w:t xml:space="preserve"> </w:t>
      </w:r>
      <w:r>
        <w:t xml:space="preserve">that a dry spring determines.</w:t>
      </w:r>
    </w:p>
    <w:bookmarkEnd w:id="73"/>
    <w:bookmarkStart w:id="74" w:name="water"/>
    <w:p>
      <w:pPr>
        <w:pStyle w:val="Heading2"/>
      </w:pPr>
      <w:r>
        <w:t xml:space="preserve">7.2 Water</w:t>
      </w:r>
    </w:p>
    <w:p>
      <w:pPr>
        <w:pStyle w:val="FirstParagraph"/>
      </w:pPr>
      <w:r>
        <w:t xml:space="preserve">The immediate effect is on inflows rather than storage. Storages deplete on a</w:t>
      </w:r>
      <w:r>
        <w:t xml:space="preserve"> </w:t>
      </w:r>
      <w:r>
        <w:t xml:space="preserve">one-to-two year timescale; a single dry spring reduces the inflow that would</w:t>
      </w:r>
      <w:r>
        <w:t xml:space="preserve"> </w:t>
      </w:r>
      <w:r>
        <w:t xml:space="preserve">otherwise have refilled them. With southern Murray-Darling storages already below</w:t>
      </w:r>
      <w:r>
        <w:t xml:space="preserve"> </w:t>
      </w:r>
      <w:r>
        <w:t xml:space="preserve">average and the Darling headwaters in the high-confidence drought zone, a dry</w:t>
      </w:r>
      <w:r>
        <w:t xml:space="preserve"> </w:t>
      </w:r>
      <w:r>
        <w:t xml:space="preserve">spring in 2026 raises the probability of constrained allocations in 2027–28 more</w:t>
      </w:r>
      <w:r>
        <w:t xml:space="preserve"> </w:t>
      </w:r>
      <w:r>
        <w:t xml:space="preserve">than in 2026–27.</w:t>
      </w:r>
    </w:p>
    <w:p>
      <w:pPr>
        <w:pStyle w:val="BodyText"/>
      </w:pPr>
      <w:r>
        <w:t xml:space="preserve">Urban supply is less exposed than it was during the Millennium drought.</w:t>
      </w:r>
      <w:r>
        <w:t xml:space="preserve"> </w:t>
      </w:r>
      <w:r>
        <w:t xml:space="preserve">Desalination capacity in Sydney, Melbourne, Adelaide, Perth and the Gold Coast</w:t>
      </w:r>
      <w:r>
        <w:t xml:space="preserve"> </w:t>
      </w:r>
      <w:r>
        <w:t xml:space="preserve">provides rainfall-independent supply that did not exist in 2002 or 2006, at a cost.</w:t>
      </w:r>
      <w:r>
        <w:t xml:space="preserve"> </w:t>
      </w:r>
      <w:r>
        <w:t xml:space="preserve">The decision points for the Commonwealth are more likely to concern regional and</w:t>
      </w:r>
      <w:r>
        <w:t xml:space="preserve"> </w:t>
      </w:r>
      <w:r>
        <w:t xml:space="preserve">remote town supply — where the buffer is thin and the intervention is trucking</w:t>
      </w:r>
      <w:r>
        <w:t xml:space="preserve"> </w:t>
      </w:r>
      <w:r>
        <w:t xml:space="preserve">water — than the capital cities.</w:t>
      </w:r>
    </w:p>
    <w:bookmarkEnd w:id="74"/>
    <w:bookmarkStart w:id="75" w:name="bushfire"/>
    <w:p>
      <w:pPr>
        <w:pStyle w:val="Heading2"/>
      </w:pPr>
      <w:r>
        <w:t xml:space="preserve">7.3 Bushfire</w:t>
      </w:r>
    </w:p>
    <w:p>
      <w:pPr>
        <w:pStyle w:val="FirstParagraph"/>
      </w:pPr>
      <w:r>
        <w:t xml:space="preserve">The fire risk transmission is indirect but reliable: dry spring plus hot spring</w:t>
      </w:r>
      <w:r>
        <w:t xml:space="preserve"> </w:t>
      </w:r>
      <w:r>
        <w:t xml:space="preserve">produces cured fine fuel and reduced fuel moisture entering summer. This is the</w:t>
      </w:r>
      <w:r>
        <w:t xml:space="preserve"> </w:t>
      </w:r>
      <w:r>
        <w:t xml:space="preserve">one hazard where the heat signal, which Section 4.3 shows is the dependable part</w:t>
      </w:r>
      <w:r>
        <w:t xml:space="preserve"> </w:t>
      </w:r>
      <w:r>
        <w:t xml:space="preserve">of El Niño, matters as much as the rainfall signal.</w:t>
      </w:r>
    </w:p>
    <w:p>
      <w:pPr>
        <w:pStyle w:val="BodyText"/>
      </w:pPr>
      <w:r>
        <w:t xml:space="preserve">The relevant qualifier is fuel load. In the grassy inland, a dry spring reduces</w:t>
      </w:r>
      <w:r>
        <w:t xml:space="preserve"> </w:t>
      </w:r>
      <w:r>
        <w:t xml:space="preserve">fuel growth and can</w:t>
      </w:r>
      <w:r>
        <w:t xml:space="preserve"> </w:t>
      </w:r>
      <w:r>
        <w:rPr>
          <w:i/>
          <w:iCs/>
        </w:rPr>
        <w:t xml:space="preserve">lower</w:t>
      </w:r>
      <w:r>
        <w:t xml:space="preserve"> </w:t>
      </w:r>
      <w:r>
        <w:t xml:space="preserve">fire risk; in forested south-eastern Australia, where</w:t>
      </w:r>
      <w:r>
        <w:t xml:space="preserve"> </w:t>
      </w:r>
      <w:r>
        <w:t xml:space="preserve">fuel is already present, a dry spring lowers moisture content and raises it. The</w:t>
      </w:r>
      <w:r>
        <w:t xml:space="preserve"> </w:t>
      </w:r>
      <w:r>
        <w:t xml:space="preserve">2019–20 season is the reference case for the second mechanism: 33 direct deaths,</w:t>
      </w:r>
      <w:r>
        <w:t xml:space="preserve"> </w:t>
      </w:r>
      <w:r>
        <w:t xml:space="preserve">an estimated 417 further deaths attributable to smoke exposure, over 3,000 homes</w:t>
      </w:r>
      <w:r>
        <w:t xml:space="preserve"> </w:t>
      </w:r>
      <w:r>
        <w:t xml:space="preserve">destroyed and roughly 24 million hectares burned</w:t>
      </w:r>
      <w:r>
        <w:t xml:space="preserve"> </w:t>
      </w:r>
      <w:r>
        <w:t xml:space="preserve">(Grattan Institute, 2020)</w:t>
      </w:r>
      <w:r>
        <w:t xml:space="preserve">.</w:t>
      </w:r>
      <w:r>
        <w:t xml:space="preserve"> </w:t>
      </w:r>
      <w:r>
        <w:t xml:space="preserve">That season followed a record positive Indian Ocean Dipole and near-neutral ENSO —</w:t>
      </w:r>
      <w:r>
        <w:t xml:space="preserve"> </w:t>
      </w:r>
      <w:r>
        <w:t xml:space="preserve">another reason to watch the Indian Ocean rather than the Pacific.</w:t>
      </w:r>
    </w:p>
    <w:p>
      <w:pPr>
        <w:pStyle w:val="BodyText"/>
      </w:pPr>
      <w:r>
        <w:t xml:space="preserve">AFAC’s Winter 2026 outlook, issued in May, identified increased fire risk in the</w:t>
      </w:r>
      <w:r>
        <w:t xml:space="preserve"> </w:t>
      </w:r>
      <w:r>
        <w:t xml:space="preserve">northern Great Sandy Desert region of Western Australia and in parts of central and</w:t>
      </w:r>
      <w:r>
        <w:t xml:space="preserve"> </w:t>
      </w:r>
      <w:r>
        <w:t xml:space="preserve">northern New South Wales</w:t>
      </w:r>
      <w:r>
        <w:t xml:space="preserve"> </w:t>
      </w:r>
      <w:r>
        <w:t xml:space="preserve">(Australasian Fire and Emergency Service Authorities Council, 2026)</w:t>
      </w:r>
      <w:r>
        <w:t xml:space="preserve">. The Spring 2026 outlook, due around</w:t>
      </w:r>
      <w:r>
        <w:t xml:space="preserve"> </w:t>
      </w:r>
      <w:r>
        <w:t xml:space="preserve">the start of September, will be the first to incorporate the declared El Niño and</w:t>
      </w:r>
      <w:r>
        <w:t xml:space="preserve"> </w:t>
      </w:r>
      <w:r>
        <w:t xml:space="preserve">is the single most useful forward document for fire-season planning.</w:t>
      </w:r>
    </w:p>
    <w:bookmarkEnd w:id="75"/>
    <w:bookmarkStart w:id="76" w:name="health"/>
    <w:p>
      <w:pPr>
        <w:pStyle w:val="Heading2"/>
      </w:pPr>
      <w:r>
        <w:t xml:space="preserve">7.4 Health</w:t>
      </w:r>
    </w:p>
    <w:p>
      <w:pPr>
        <w:pStyle w:val="FirstParagraph"/>
      </w:pPr>
      <w:r>
        <w:t xml:space="preserve">Heat is the largest and most direct health pathway, and unlike drought it scales</w:t>
      </w:r>
      <w:r>
        <w:t xml:space="preserve"> </w:t>
      </w:r>
      <w:r>
        <w:t xml:space="preserve">with event strength. The exposed populations are the elderly, people with</w:t>
      </w:r>
      <w:r>
        <w:t xml:space="preserve"> </w:t>
      </w:r>
      <w:r>
        <w:t xml:space="preserve">cardiovascular and respiratory disease, outdoor workers and people without</w:t>
      </w:r>
      <w:r>
        <w:t xml:space="preserve"> </w:t>
      </w:r>
      <w:r>
        <w:t xml:space="preserve">air-conditioning or with insecure electricity supply. Section 4.5’s finding — that</w:t>
      </w:r>
      <w:r>
        <w:t xml:space="preserve"> </w:t>
      </w:r>
      <w:r>
        <w:t xml:space="preserve">absolute temperatures in a very strong El Niño spring now run 1.5 to 2.1 °C above</w:t>
      </w:r>
      <w:r>
        <w:t xml:space="preserve"> </w:t>
      </w:r>
      <w:r>
        <w:t xml:space="preserve">the 1961–90 baseline across southern Australia — means that heat-health thresholds</w:t>
      </w:r>
      <w:r>
        <w:t xml:space="preserve"> </w:t>
      </w:r>
      <w:r>
        <w:t xml:space="preserve">calibrated on older data will be crossed more often than historical event</w:t>
      </w:r>
      <w:r>
        <w:t xml:space="preserve"> </w:t>
      </w:r>
      <w:r>
        <w:t xml:space="preserve">frequencies imply.</w:t>
      </w:r>
    </w:p>
    <w:p>
      <w:pPr>
        <w:pStyle w:val="BodyText"/>
      </w:pPr>
      <w:r>
        <w:t xml:space="preserve">Bushfire smoke is the second pathway and, on the 2019–20 experience, can exceed</w:t>
      </w:r>
      <w:r>
        <w:t xml:space="preserve"> </w:t>
      </w:r>
      <w:r>
        <w:t xml:space="preserve">direct fire mortality by an order of magnitude. It affects a far larger population</w:t>
      </w:r>
      <w:r>
        <w:t xml:space="preserve"> </w:t>
      </w:r>
      <w:r>
        <w:t xml:space="preserve">than the fires themselves; smoke haze reached most of the eastern seaboard for</w:t>
      </w:r>
      <w:r>
        <w:t xml:space="preserve"> </w:t>
      </w:r>
      <w:r>
        <w:t xml:space="preserve">weeks.</w:t>
      </w:r>
    </w:p>
    <w:p>
      <w:pPr>
        <w:pStyle w:val="BodyText"/>
      </w:pPr>
      <w:r>
        <w:t xml:space="preserve">Third-order pathways include mental health in drought-affected rural communities,</w:t>
      </w:r>
      <w:r>
        <w:t xml:space="preserve"> </w:t>
      </w:r>
      <w:r>
        <w:t xml:space="preserve">where the effect is cumulative across seasons rather than acute, and water-borne</w:t>
      </w:r>
      <w:r>
        <w:t xml:space="preserve"> </w:t>
      </w:r>
      <w:r>
        <w:t xml:space="preserve">and vector-borne disease risk associated with reduced river flows and stagnant</w:t>
      </w:r>
      <w:r>
        <w:t xml:space="preserve"> </w:t>
      </w:r>
      <w:r>
        <w:t xml:space="preserve">water bodies.</w:t>
      </w:r>
    </w:p>
    <w:bookmarkEnd w:id="76"/>
    <w:bookmarkStart w:id="77" w:name="insurance-and-the-economy"/>
    <w:p>
      <w:pPr>
        <w:pStyle w:val="Heading2"/>
      </w:pPr>
      <w:r>
        <w:t xml:space="preserve">7.5 Insurance and the economy</w:t>
      </w:r>
    </w:p>
    <w:p>
      <w:pPr>
        <w:pStyle w:val="FirstParagraph"/>
      </w:pPr>
      <w:r>
        <w:t xml:space="preserve">The insurance effect of El Niño is a change in the</w:t>
      </w:r>
      <w:r>
        <w:t xml:space="preserve"> </w:t>
      </w:r>
      <w:r>
        <w:rPr>
          <w:i/>
          <w:iCs/>
        </w:rPr>
        <w:t xml:space="preserve">composition</w:t>
      </w:r>
      <w:r>
        <w:t xml:space="preserve"> </w:t>
      </w:r>
      <w:r>
        <w:t xml:space="preserve">of loss rather</w:t>
      </w:r>
      <w:r>
        <w:t xml:space="preserve"> </w:t>
      </w:r>
      <w:r>
        <w:t xml:space="preserve">than a simple increase. Flood and cyclone losses, which dominate Australian</w:t>
      </w:r>
      <w:r>
        <w:t xml:space="preserve"> </w:t>
      </w:r>
      <w:r>
        <w:t xml:space="preserve">catastrophe experience in La Niña years, decline. Bushfire and hail losses rise.</w:t>
      </w:r>
      <w:r>
        <w:t xml:space="preserve"> </w:t>
      </w:r>
      <w:r>
        <w:t xml:space="preserve">Drought is largely uninsured in Australia outside of multi-peril crop products with</w:t>
      </w:r>
      <w:r>
        <w:t xml:space="preserve"> </w:t>
      </w:r>
      <w:r>
        <w:t xml:space="preserve">low take-up, so the agricultural loss falls on producers, lenders and eventually</w:t>
      </w:r>
      <w:r>
        <w:t xml:space="preserve"> </w:t>
      </w:r>
      <w:r>
        <w:t xml:space="preserve">government rather than on insurers.</w:t>
      </w:r>
    </w:p>
    <w:p>
      <w:pPr>
        <w:pStyle w:val="BodyText"/>
      </w:pPr>
      <w:r>
        <w:t xml:space="preserve">At the macro level, the historical analogues put a bad El Niño drought at roughly</w:t>
      </w:r>
      <w:r>
        <w:t xml:space="preserve"> </w:t>
      </w:r>
      <w:r>
        <w:t xml:space="preserve">0.5 to 1.0 percentage points of GDP growth in the affected year, concentrated in</w:t>
      </w:r>
      <w:r>
        <w:t xml:space="preserve"> </w:t>
      </w:r>
      <w:r>
        <w:t xml:space="preserve">the farm sector, with partial offset from lower flood and cyclone damage. The</w:t>
      </w:r>
      <w:r>
        <w:t xml:space="preserve"> </w:t>
      </w:r>
      <w:r>
        <w:t xml:space="preserve">2002–03 figure of 0.9 percentage points is the upper end of recent experience</w:t>
      </w:r>
      <w:r>
        <w:t xml:space="preserve"> </w:t>
      </w:r>
      <w:r>
        <w:t xml:space="preserve">(Australian Treasury, 2004)</w:t>
      </w:r>
      <w:r>
        <w:t xml:space="preserve">.</w:t>
      </w:r>
    </w:p>
    <w:bookmarkEnd w:id="77"/>
    <w:bookmarkStart w:id="78" w:name="marine-environment-and-tourism"/>
    <w:p>
      <w:pPr>
        <w:pStyle w:val="Heading2"/>
      </w:pPr>
      <w:r>
        <w:t xml:space="preserve">7.6 Marine environment and tourism</w:t>
      </w:r>
    </w:p>
    <w:p>
      <w:pPr>
        <w:pStyle w:val="FirstParagraph"/>
      </w:pPr>
      <w:r>
        <w:t xml:space="preserve">Warm Pacific conditions and reduced cloud cover raise sea surface temperatures on</w:t>
      </w:r>
      <w:r>
        <w:t xml:space="preserve"> </w:t>
      </w:r>
      <w:r>
        <w:t xml:space="preserve">the Great Barrier Reef in the southern summer. The 2015–16 El Niño triggered the</w:t>
      </w:r>
      <w:r>
        <w:t xml:space="preserve"> </w:t>
      </w:r>
      <w:r>
        <w:t xml:space="preserve">most severe bleaching event recorded on the reef at that time, part of the third</w:t>
      </w:r>
      <w:r>
        <w:t xml:space="preserve"> </w:t>
      </w:r>
      <w:r>
        <w:t xml:space="preserve">global mass bleaching event</w:t>
      </w:r>
      <w:r>
        <w:t xml:space="preserve"> </w:t>
      </w:r>
      <w:r>
        <w:t xml:space="preserve">(Australian Institute of Marine Science, 2026)</w:t>
      </w:r>
      <w:r>
        <w:t xml:space="preserve">. The reef has since experienced</w:t>
      </w:r>
      <w:r>
        <w:t xml:space="preserve"> </w:t>
      </w:r>
      <w:r>
        <w:t xml:space="preserve">repeated events with progressively shorter recovery intervals, so the marginal</w:t>
      </w:r>
      <w:r>
        <w:t xml:space="preserve"> </w:t>
      </w:r>
      <w:r>
        <w:t xml:space="preserve">effect of a further thermal stress season is larger than it was in 2016.</w:t>
      </w:r>
    </w:p>
    <w:p>
      <w:pPr>
        <w:pStyle w:val="BodyText"/>
      </w:pPr>
      <w:r>
        <w:t xml:space="preserve">Western Australian marine systems are exposed differently. The Leeuwin Current</w:t>
      </w:r>
      <w:r>
        <w:t xml:space="preserve"> </w:t>
      </w:r>
      <w:r>
        <w:t xml:space="preserve">weakens in El Niño years, which historically reduced marine heatwave risk off</w:t>
      </w:r>
      <w:r>
        <w:t xml:space="preserve"> </w:t>
      </w:r>
      <w:r>
        <w:t xml:space="preserve">Western Australia — the 2011 Ningaloo Niño marine heatwave was a La Niña event.</w:t>
      </w:r>
      <w:r>
        <w:t xml:space="preserve"> </w:t>
      </w:r>
      <w:r>
        <w:t xml:space="preserve">This is one of the few Australian impacts where El Niño reduces rather than</w:t>
      </w:r>
      <w:r>
        <w:t xml:space="preserve"> </w:t>
      </w:r>
      <w:r>
        <w:t xml:space="preserve">increases risk.</w:t>
      </w:r>
    </w:p>
    <w:bookmarkEnd w:id="78"/>
    <w:bookmarkStart w:id="79" w:name="energy"/>
    <w:p>
      <w:pPr>
        <w:pStyle w:val="Heading2"/>
      </w:pPr>
      <w:r>
        <w:t xml:space="preserve">7.7 Energy</w:t>
      </w:r>
    </w:p>
    <w:p>
      <w:pPr>
        <w:pStyle w:val="FirstParagraph"/>
      </w:pPr>
      <w:r>
        <w:t xml:space="preserve">Briefly, since it is not the focus of this note. The energy-sector effects run</w:t>
      </w:r>
      <w:r>
        <w:t xml:space="preserve"> </w:t>
      </w:r>
      <w:r>
        <w:t xml:space="preserve">through higher summer peak demand from cooling load, reduced hydro inflows in the</w:t>
      </w:r>
      <w:r>
        <w:t xml:space="preserve"> </w:t>
      </w:r>
      <w:r>
        <w:t xml:space="preserve">Snowy and Tasmanian schemes, elevated bushfire risk to transmission corridors, and</w:t>
      </w:r>
      <w:r>
        <w:t xml:space="preserve"> </w:t>
      </w:r>
      <w:r>
        <w:t xml:space="preserve">thermal derating of generation and network plant on hot days. Each is a</w:t>
      </w:r>
      <w:r>
        <w:t xml:space="preserve"> </w:t>
      </w:r>
      <w:r>
        <w:t xml:space="preserve">well-understood operational risk with existing planning processes, and none of</w:t>
      </w:r>
      <w:r>
        <w:t xml:space="preserve"> </w:t>
      </w:r>
      <w:r>
        <w:t xml:space="preserve">them is new.</w:t>
      </w:r>
    </w:p>
    <w:p>
      <w:r>
        <w:pict>
          <v:rect style="width:0;height:1.5pt" o:hralign="center" o:hrstd="t" o:hr="t"/>
        </w:pict>
      </w:r>
    </w:p>
    <w:bookmarkEnd w:id="79"/>
    <w:bookmarkEnd w:id="80"/>
    <w:bookmarkStart w:id="81" w:name="what-would-change-this-assessment"/>
    <w:p>
      <w:pPr>
        <w:pStyle w:val="Heading1"/>
      </w:pPr>
      <w:r>
        <w:t xml:space="preserve">8. What would change this assessment</w:t>
      </w:r>
    </w:p>
    <w:p>
      <w:pPr>
        <w:pStyle w:val="FirstParagraph"/>
      </w:pPr>
      <w:r>
        <w:t xml:space="preserve">Stating falsifiers explicitly is the discipline that separates a forecast from a</w:t>
      </w:r>
      <w:r>
        <w:t xml:space="preserve"> </w:t>
      </w:r>
      <w:r>
        <w:t xml:space="preserve">prediction. The judgements in the summary brief would be revised on the following</w:t>
      </w:r>
      <w:r>
        <w:t xml:space="preserve"> </w:t>
      </w:r>
      <w:r>
        <w:t xml:space="preserve">observables.</w:t>
      </w:r>
    </w:p>
    <w:p>
      <w:pPr>
        <w:pStyle w:val="BodyText"/>
      </w:pPr>
      <w:r>
        <w:rPr>
          <w:b/>
          <w:bCs/>
        </w:rPr>
        <w:t xml:space="preserve">On the event itself.</w:t>
      </w:r>
      <w:r>
        <w:t xml:space="preserve"> </w:t>
      </w:r>
      <w:r>
        <w:t xml:space="preserve">A stall or decline in the Niño 3.4 anomaly through August</w:t>
      </w:r>
      <w:r>
        <w:t xml:space="preserve"> </w:t>
      </w:r>
      <w:r>
        <w:t xml:space="preserve">and September, or a weakening of the Southern Oscillation Index back toward zero,</w:t>
      </w:r>
      <w:r>
        <w:t xml:space="preserve"> </w:t>
      </w:r>
      <w:r>
        <w:t xml:space="preserve">would indicate the coupling is breaking down. The next CPC diagnostic discussion is</w:t>
      </w:r>
      <w:r>
        <w:t xml:space="preserve"> </w:t>
      </w:r>
      <w:r>
        <w:t xml:space="preserve">scheduled for 13 August 2026</w:t>
      </w:r>
      <w:r>
        <w:t xml:space="preserve"> </w:t>
      </w:r>
      <w:r>
        <w:t xml:space="preserve">(NOAA Climate Prediction Center, 2026a)</w:t>
      </w:r>
      <w:r>
        <w:t xml:space="preserve"> </w:t>
      </w:r>
      <w:r>
        <w:t xml:space="preserve">and the Bureau updates</w:t>
      </w:r>
      <w:r>
        <w:t xml:space="preserve"> </w:t>
      </w:r>
      <w:r>
        <w:t xml:space="preserve">weekly. On current evidence this is unlikely; we would treat two consecutive</w:t>
      </w:r>
      <w:r>
        <w:t xml:space="preserve"> </w:t>
      </w:r>
      <w:r>
        <w:t xml:space="preserve">fortnights of decline as the trigger to reassess.</w:t>
      </w:r>
    </w:p>
    <w:p>
      <w:pPr>
        <w:pStyle w:val="BodyText"/>
      </w:pPr>
      <w:r>
        <w:rPr>
          <w:b/>
          <w:bCs/>
        </w:rPr>
        <w:t xml:space="preserve">On southern Australian rainfall.</w:t>
      </w:r>
      <w:r>
        <w:t xml:space="preserve"> </w:t>
      </w:r>
      <w:r>
        <w:t xml:space="preserve">The Dipole Mode Index sustaining values above</w:t>
      </w:r>
      <w:r>
        <w:t xml:space="preserve"> </w:t>
      </w:r>
      <w:r>
        <w:t xml:space="preserve">+0.4 °C through August and into September would confirm the positive IOD and shift</w:t>
      </w:r>
      <w:r>
        <w:t xml:space="preserve"> </w:t>
      </w:r>
      <w:r>
        <w:t xml:space="preserve">Victoria, South Australia and the southern Murray-Darling from the</w:t>
      </w:r>
      <w:r>
        <w:t xml:space="preserve"> </w:t>
      </w:r>
      <w:r>
        <w:t xml:space="preserve">“conditional”</w:t>
      </w:r>
      <w:r>
        <w:t xml:space="preserve"> </w:t>
      </w:r>
      <w:r>
        <w:t xml:space="preserve">category to the</w:t>
      </w:r>
      <w:r>
        <w:t xml:space="preserve"> </w:t>
      </w:r>
      <w:r>
        <w:t xml:space="preserve">“affected”</w:t>
      </w:r>
      <w:r>
        <w:t xml:space="preserve"> </w:t>
      </w:r>
      <w:r>
        <w:t xml:space="preserve">category. The index falling back below +0.4 °C and</w:t>
      </w:r>
      <w:r>
        <w:t xml:space="preserve"> </w:t>
      </w:r>
      <w:r>
        <w:t xml:space="preserve">staying there through September would do the reverse. On the evidence in</w:t>
      </w:r>
      <w:r>
        <w:t xml:space="preserve"> </w:t>
      </w:r>
      <w:r>
        <w:t xml:space="preserve">Section 3.3 that shift is worth roughly 25 percentage points of spring rainfall in</w:t>
      </w:r>
      <w:r>
        <w:t xml:space="preserve"> </w:t>
      </w:r>
      <w:r>
        <w:t xml:space="preserve">the Murray-Darling and 30 in Victoria, regardless of how large the Pacific event</w:t>
      </w:r>
      <w:r>
        <w:t xml:space="preserve"> </w:t>
      </w:r>
      <w:r>
        <w:t xml:space="preserve">becomes. This is the highest-value single observable</w:t>
      </w:r>
      <w:r>
        <w:t xml:space="preserve"> </w:t>
      </w:r>
      <w:r>
        <w:t xml:space="preserve">between now and October.</w:t>
      </w:r>
    </w:p>
    <w:p>
      <w:pPr>
        <w:pStyle w:val="BodyText"/>
      </w:pPr>
      <w:r>
        <w:rPr>
          <w:b/>
          <w:bCs/>
        </w:rPr>
        <w:t xml:space="preserve">On eastern seaboard rainfall.</w:t>
      </w:r>
      <w:r>
        <w:t xml:space="preserve"> </w:t>
      </w:r>
      <w:r>
        <w:t xml:space="preserve">A persistently positive Southern Annular Mode</w:t>
      </w:r>
      <w:r>
        <w:t xml:space="preserve"> </w:t>
      </w:r>
      <w:r>
        <w:t xml:space="preserve">through spring and summer would drive moist onshore easterlies into the New South</w:t>
      </w:r>
      <w:r>
        <w:t xml:space="preserve"> </w:t>
      </w:r>
      <w:r>
        <w:t xml:space="preserve">Wales and Queensland coasts and offset part of the ENSO drying there. SAM is not</w:t>
      </w:r>
      <w:r>
        <w:t xml:space="preserve"> </w:t>
      </w:r>
      <w:r>
        <w:t xml:space="preserve">predictable at seasonal lead, so this cannot be forecast — but it can be monitored,</w:t>
      </w:r>
      <w:r>
        <w:t xml:space="preserve"> </w:t>
      </w:r>
      <w:r>
        <w:t xml:space="preserve">and it is a live source of upside.</w:t>
      </w:r>
    </w:p>
    <w:p>
      <w:pPr>
        <w:pStyle w:val="BodyText"/>
      </w:pPr>
      <w:r>
        <w:rPr>
          <w:b/>
          <w:bCs/>
        </w:rPr>
        <w:t xml:space="preserve">On the north.</w:t>
      </w:r>
      <w:r>
        <w:t xml:space="preserve"> </w:t>
      </w:r>
      <w:r>
        <w:t xml:space="preserve">An early monsoon onset, or above-average cyclone numbers in the</w:t>
      </w:r>
      <w:r>
        <w:t xml:space="preserve"> </w:t>
      </w:r>
      <w:r>
        <w:t xml:space="preserve">Australian region, would indicate the tropical teleconnection is weaker than the</w:t>
      </w:r>
      <w:r>
        <w:t xml:space="preserve"> </w:t>
      </w:r>
      <w:r>
        <w:t xml:space="preserve">index implies.</w:t>
      </w:r>
    </w:p>
    <w:p>
      <w:r>
        <w:pict>
          <v:rect style="width:0;height:1.5pt" o:hralign="center" o:hrstd="t" o:hr="t"/>
        </w:pict>
      </w:r>
    </w:p>
    <w:bookmarkEnd w:id="81"/>
    <w:bookmarkStart w:id="82" w:name="options-for-government"/>
    <w:p>
      <w:pPr>
        <w:pStyle w:val="Heading1"/>
      </w:pPr>
      <w:r>
        <w:t xml:space="preserve">9. Options for government</w:t>
      </w:r>
    </w:p>
    <w:p>
      <w:pPr>
        <w:pStyle w:val="FirstParagraph"/>
      </w:pPr>
      <w:r>
        <w:t xml:space="preserve">These are framed as options at graduated levels of commitment, not</w:t>
      </w:r>
      <w:r>
        <w:t xml:space="preserve"> </w:t>
      </w:r>
      <w:r>
        <w:t xml:space="preserve">recommendations. The distinguishing feature of the current situation is that the</w:t>
      </w:r>
      <w:r>
        <w:t xml:space="preserve"> </w:t>
      </w:r>
      <w:r>
        <w:t xml:space="preserve">Pacific is close to settled while the Australian outcome is not, which argues for</w:t>
      </w:r>
      <w:r>
        <w:t xml:space="preserve"> </w:t>
      </w:r>
      <w:r>
        <w:t xml:space="preserve">sequencing rather than for acting on everything at once.</w:t>
      </w:r>
    </w:p>
    <w:p>
      <w:pPr>
        <w:pStyle w:val="BodyText"/>
      </w:pPr>
      <w:r>
        <w:rPr>
          <w:b/>
          <w:bCs/>
        </w:rPr>
        <w:t xml:space="preserve">No-regrets, appropriate now.</w:t>
      </w:r>
      <w:r>
        <w:t xml:space="preserve"> </w:t>
      </w:r>
      <w:r>
        <w:t xml:space="preserve">These have low cost and are justified by the</w:t>
      </w:r>
      <w:r>
        <w:t xml:space="preserve"> </w:t>
      </w:r>
      <w:r>
        <w:t xml:space="preserve">information already in hand.</w:t>
      </w:r>
    </w:p>
    <w:p>
      <w:pPr>
        <w:pStyle w:val="Compact"/>
        <w:numPr>
          <w:ilvl w:val="0"/>
          <w:numId w:val="1003"/>
        </w:numPr>
      </w:pPr>
      <w:r>
        <w:t xml:space="preserve">Bring forward fire-season preparedness for southern and eastern Australia:</w:t>
      </w:r>
      <w:r>
        <w:t xml:space="preserve"> </w:t>
      </w:r>
      <w:r>
        <w:t xml:space="preserve">aerial firefighting contracting, hazard-reduction windows, interstate resource</w:t>
      </w:r>
      <w:r>
        <w:t xml:space="preserve"> </w:t>
      </w:r>
      <w:r>
        <w:t xml:space="preserve">sharing agreements. The heat signal is the dependable part of El Niño and the</w:t>
      </w:r>
      <w:r>
        <w:t xml:space="preserve"> </w:t>
      </w:r>
      <w:r>
        <w:t xml:space="preserve">lead times on aviation contracting are long.</w:t>
      </w:r>
    </w:p>
    <w:p>
      <w:pPr>
        <w:pStyle w:val="Compact"/>
        <w:numPr>
          <w:ilvl w:val="0"/>
          <w:numId w:val="1003"/>
        </w:numPr>
      </w:pPr>
      <w:r>
        <w:t xml:space="preserve">Activate heat-health planning with state health departments, targeting the</w:t>
      </w:r>
      <w:r>
        <w:t xml:space="preserve"> </w:t>
      </w:r>
      <w:r>
        <w:t xml:space="preserve">populations in Section 7.4. Cost is low; the 2026–27 summer will be hot whether</w:t>
      </w:r>
      <w:r>
        <w:t xml:space="preserve"> </w:t>
      </w:r>
      <w:r>
        <w:t xml:space="preserve">or not it is dry.</w:t>
      </w:r>
    </w:p>
    <w:p>
      <w:pPr>
        <w:pStyle w:val="Compact"/>
        <w:numPr>
          <w:ilvl w:val="0"/>
          <w:numId w:val="1003"/>
        </w:numPr>
      </w:pPr>
      <w:r>
        <w:t xml:space="preserve">Confirm the readiness of existing drought support architecture — Farm Household</w:t>
      </w:r>
      <w:r>
        <w:t xml:space="preserve"> </w:t>
      </w:r>
      <w:r>
        <w:t xml:space="preserve">Allowance processing capacity, Regional Investment Corporation loan settings,</w:t>
      </w:r>
      <w:r>
        <w:t xml:space="preserve"> </w:t>
      </w:r>
      <w:r>
        <w:t xml:space="preserve">rural financial counselling staffing — without changing settings. Northern New</w:t>
      </w:r>
      <w:r>
        <w:t xml:space="preserve"> </w:t>
      </w:r>
      <w:r>
        <w:t xml:space="preserve">South Wales and southern Queensland producers are already in drought conditions</w:t>
      </w:r>
      <w:r>
        <w:t xml:space="preserve"> </w:t>
      </w:r>
      <w:r>
        <w:t xml:space="preserve">irrespective of what happens next.</w:t>
      </w:r>
    </w:p>
    <w:p>
      <w:pPr>
        <w:pStyle w:val="Compact"/>
        <w:numPr>
          <w:ilvl w:val="0"/>
          <w:numId w:val="1003"/>
        </w:numPr>
      </w:pPr>
      <w:r>
        <w:t xml:space="preserve">Commission or confirm the delivery timetable for a Bureau briefing to Cabinet</w:t>
      </w:r>
      <w:r>
        <w:t xml:space="preserve"> </w:t>
      </w:r>
      <w:r>
        <w:t xml:space="preserve">around mid-September, when the Indian Ocean Dipole question will have resolved.</w:t>
      </w:r>
    </w:p>
    <w:p>
      <w:pPr>
        <w:pStyle w:val="FirstParagraph"/>
      </w:pPr>
      <w:r>
        <w:rPr>
          <w:b/>
          <w:bCs/>
        </w:rPr>
        <w:t xml:space="preserve">Contingent, decide in September–October.</w:t>
      </w:r>
      <w:r>
        <w:t xml:space="preserve"> </w:t>
      </w:r>
      <w:r>
        <w:t xml:space="preserve">These should be prepared now and</w:t>
      </w:r>
      <w:r>
        <w:t xml:space="preserve"> </w:t>
      </w:r>
      <w:r>
        <w:t xml:space="preserve">triggered on the observables in Section 8.</w:t>
      </w:r>
    </w:p>
    <w:p>
      <w:pPr>
        <w:pStyle w:val="Compact"/>
        <w:numPr>
          <w:ilvl w:val="0"/>
          <w:numId w:val="1004"/>
        </w:numPr>
      </w:pPr>
      <w:r>
        <w:t xml:space="preserve">Scaled drought assistance for the southern cropping belt, triggered on a</w:t>
      </w:r>
      <w:r>
        <w:t xml:space="preserve"> </w:t>
      </w:r>
      <w:r>
        <w:t xml:space="preserve">confirmed positive Indian Ocean Dipole plus below-median September rainfall.</w:t>
      </w:r>
    </w:p>
    <w:p>
      <w:pPr>
        <w:pStyle w:val="Compact"/>
        <w:numPr>
          <w:ilvl w:val="0"/>
          <w:numId w:val="1004"/>
        </w:numPr>
      </w:pPr>
      <w:r>
        <w:t xml:space="preserve">Water carting and emergency supply arrangements for remote and regional towns in</w:t>
      </w:r>
      <w:r>
        <w:t xml:space="preserve"> </w:t>
      </w:r>
      <w:r>
        <w:t xml:space="preserve">western New South Wales and western Queensland, triggered on storage thresholds</w:t>
      </w:r>
      <w:r>
        <w:t xml:space="preserve"> </w:t>
      </w:r>
      <w:r>
        <w:t xml:space="preserve">rather than on calendar dates.</w:t>
      </w:r>
    </w:p>
    <w:p>
      <w:pPr>
        <w:pStyle w:val="Compact"/>
        <w:numPr>
          <w:ilvl w:val="0"/>
          <w:numId w:val="1004"/>
        </w:numPr>
      </w:pPr>
      <w:r>
        <w:t xml:space="preserve">Northern Australia wet-season contingency for a delayed monsoon: stock water,</w:t>
      </w:r>
      <w:r>
        <w:t xml:space="preserve"> </w:t>
      </w:r>
      <w:r>
        <w:t xml:space="preserve">road access and remote community supply.</w:t>
      </w:r>
    </w:p>
    <w:p>
      <w:pPr>
        <w:pStyle w:val="FirstParagraph"/>
      </w:pPr>
      <w:r>
        <w:rPr>
          <w:b/>
          <w:bCs/>
        </w:rPr>
        <w:t xml:space="preserve">Worth avoiding.</w:t>
      </w:r>
      <w:r>
        <w:t xml:space="preserve"> </w:t>
      </w:r>
      <w:r>
        <w:t xml:space="preserve">Two failure modes are visible in past events.</w:t>
      </w:r>
    </w:p>
    <w:p>
      <w:pPr>
        <w:pStyle w:val="BodyText"/>
      </w:pPr>
      <w:r>
        <w:t xml:space="preserve">The first is announcing drought measures on the basis of the Pacific index rather</w:t>
      </w:r>
      <w:r>
        <w:t xml:space="preserve"> </w:t>
      </w:r>
      <w:r>
        <w:t xml:space="preserve">than on Australian conditions. Section 4.3 shows the index does not carry that</w:t>
      </w:r>
      <w:r>
        <w:t xml:space="preserve"> </w:t>
      </w:r>
      <w:r>
        <w:t xml:space="preserve">information. Doing so in 1997 would have produced a large intervention ahead of a</w:t>
      </w:r>
      <w:r>
        <w:t xml:space="preserve"> </w:t>
      </w:r>
      <w:r>
        <w:t xml:space="preserve">near-normal season.</w:t>
      </w:r>
    </w:p>
    <w:p>
      <w:pPr>
        <w:pStyle w:val="BodyText"/>
      </w:pPr>
      <w:r>
        <w:t xml:space="preserve">The second is treating the whole continent as a single unit. The evidence in</w:t>
      </w:r>
      <w:r>
        <w:t xml:space="preserve"> </w:t>
      </w:r>
      <w:r>
        <w:t xml:space="preserve">Sections 3.3 and 5 is that Queensland and the Northern Territory face a</w:t>
      </w:r>
      <w:r>
        <w:t xml:space="preserve"> </w:t>
      </w:r>
      <w:r>
        <w:t xml:space="preserve">near-certain dry spring while Victoria and South Australia face an outcome that</w:t>
      </w:r>
      <w:r>
        <w:t xml:space="preserve"> </w:t>
      </w:r>
      <w:r>
        <w:t xml:space="preserve">resolves on a different climate driver and is close to even money. Geographically</w:t>
      </w:r>
      <w:r>
        <w:t xml:space="preserve"> </w:t>
      </w:r>
      <w:r>
        <w:t xml:space="preserve">undifferentiated measures would over-serve the south and under-serve the north.</w:t>
      </w:r>
    </w:p>
    <w:p>
      <w:pPr>
        <w:pStyle w:val="BodyText"/>
      </w:pPr>
      <w:r>
        <w:rPr>
          <w:b/>
          <w:bCs/>
        </w:rPr>
        <w:t xml:space="preserve">On communication.</w:t>
      </w:r>
      <w:r>
        <w:t xml:space="preserve"> </w:t>
      </w:r>
      <w:r>
        <w:t xml:space="preserve">Public commentary conflates</w:t>
      </w:r>
      <w:r>
        <w:t xml:space="preserve"> </w:t>
      </w:r>
      <w:r>
        <w:t xml:space="preserve">“very strong El Niño”</w:t>
      </w:r>
      <w:r>
        <w:t xml:space="preserve"> </w:t>
      </w:r>
      <w:r>
        <w:t xml:space="preserve">with</w:t>
      </w:r>
      <w:r>
        <w:t xml:space="preserve"> </w:t>
      </w:r>
      <w:r>
        <w:t xml:space="preserve">“severe Australian drought”</w:t>
      </w:r>
      <w:r>
        <w:t xml:space="preserve">, and the record does not support the link. The</w:t>
      </w:r>
      <w:r>
        <w:t xml:space="preserve"> </w:t>
      </w:r>
      <w:r>
        <w:t xml:space="preserve">Bureau’s own qualifier — that a strong Niño 3.4 signal</w:t>
      </w:r>
      <w:r>
        <w:t xml:space="preserve"> </w:t>
      </w:r>
      <w:r>
        <w:t xml:space="preserve">“does not necessarily mean</w:t>
      </w:r>
      <w:r>
        <w:t xml:space="preserve"> </w:t>
      </w:r>
      <w:r>
        <w:t xml:space="preserve">strong impacts on Australia’s climate”</w:t>
      </w:r>
      <w:r>
        <w:t xml:space="preserve"> </w:t>
      </w:r>
      <w:r>
        <w:t xml:space="preserve">— is the accurate framing, and repeating</w:t>
      </w:r>
      <w:r>
        <w:t xml:space="preserve"> </w:t>
      </w:r>
      <w:r>
        <w:t xml:space="preserve">it early is cheaper than correcting expectations later. The corollary is also</w:t>
      </w:r>
      <w:r>
        <w:t xml:space="preserve"> </w:t>
      </w:r>
      <w:r>
        <w:t xml:space="preserve">worth saying: the heat is not conditional in the same way, and the message on heat</w:t>
      </w:r>
      <w:r>
        <w:t xml:space="preserve"> </w:t>
      </w:r>
      <w:r>
        <w:t xml:space="preserve">and fire preparedness should be firmer than the message on drought.</w:t>
      </w:r>
    </w:p>
    <w:p>
      <w:r>
        <w:pict>
          <v:rect style="width:0;height:1.5pt" o:hralign="center" o:hrstd="t" o:hr="t"/>
        </w:pict>
      </w:r>
    </w:p>
    <w:bookmarkEnd w:id="82"/>
    <w:bookmarkStart w:id="124" w:name="data-method-and-limitations"/>
    <w:p>
      <w:pPr>
        <w:pStyle w:val="Heading1"/>
      </w:pPr>
      <w:r>
        <w:t xml:space="preserve">10. Data, method and limitations</w:t>
      </w:r>
    </w:p>
    <w:p>
      <w:pPr>
        <w:pStyle w:val="FirstParagraph"/>
      </w:pPr>
      <w:r>
        <w:rPr>
          <w:b/>
          <w:bCs/>
        </w:rPr>
        <w:t xml:space="preserve">Event classification.</w:t>
      </w:r>
      <w:r>
        <w:t xml:space="preserve"> </w:t>
      </w:r>
      <w:r>
        <w:t xml:space="preserve">El Niño events identified from the NOAA CPC Oceanic Niño</w:t>
      </w:r>
      <w:r>
        <w:t xml:space="preserve"> </w:t>
      </w:r>
      <w:r>
        <w:t xml:space="preserve">Index (ERSSTv5, 1950–2026) using the standard criterion of five consecutive</w:t>
      </w:r>
      <w:r>
        <w:t xml:space="preserve"> </w:t>
      </w:r>
      <w:r>
        <w:t xml:space="preserve">overlapping three-month seasons at or above +0.5 °C. This yields 24 events with</w:t>
      </w:r>
      <w:r>
        <w:t xml:space="preserve"> </w:t>
      </w:r>
      <w:r>
        <w:t xml:space="preserve">onset years 1951, 1953, 1957, 1958, 1963, 1965, 1968, 1969, 1972, 1976, 1977,</w:t>
      </w:r>
      <w:r>
        <w:t xml:space="preserve"> </w:t>
      </w:r>
      <w:r>
        <w:t xml:space="preserve">1982, 1987, 1991, 1994, 1997, 2002, 2004, 2006, 2009, 2015, 2018, 2019 and 2023.</w:t>
      </w:r>
      <w:r>
        <w:t xml:space="preserve"> </w:t>
      </w:r>
      <w:r>
        <w:t xml:space="preserve">The rule is mechanical: it picks up 2019 as a weak event although the Bureau never</w:t>
      </w:r>
      <w:r>
        <w:t xml:space="preserve"> </w:t>
      </w:r>
      <w:r>
        <w:t xml:space="preserve">declared one, and it splits some adjacent warm periods (1957/1958, 1968/1969,</w:t>
      </w:r>
      <w:r>
        <w:t xml:space="preserve"> </w:t>
      </w:r>
      <w:r>
        <w:t xml:space="preserve">2018/2019) that other catalogues treat as single episodes. Section 3.3 notes where</w:t>
      </w:r>
      <w:r>
        <w:t xml:space="preserve"> </w:t>
      </w:r>
      <w:r>
        <w:t xml:space="preserve">this matters.</w:t>
      </w:r>
    </w:p>
    <w:p>
      <w:pPr>
        <w:pStyle w:val="BodyText"/>
      </w:pPr>
      <w:r>
        <w:rPr>
          <w:b/>
          <w:bCs/>
        </w:rPr>
        <w:t xml:space="preserve">Australian climate data.</w:t>
      </w:r>
      <w:r>
        <w:t xml:space="preserve"> </w:t>
      </w:r>
      <w:r>
        <w:t xml:space="preserve">Bureau of Meteorology area-averaged series for</w:t>
      </w:r>
      <w:r>
        <w:t xml:space="preserve"> </w:t>
      </w:r>
      <w:r>
        <w:t xml:space="preserve">rainfall (from 1900) and ACORN-SAT maximum, minimum and mean temperature (from</w:t>
      </w:r>
      <w:r>
        <w:t xml:space="preserve"> </w:t>
      </w:r>
      <w:r>
        <w:t xml:space="preserve">1910), for each state, the Murray-Darling Basin and Australia</w:t>
      </w:r>
      <w:r>
        <w:t xml:space="preserve"> </w:t>
      </w:r>
      <w:r>
        <w:t xml:space="preserve">(Bureau of Meteorology, 2026a)</w:t>
      </w:r>
      <w:r>
        <w:t xml:space="preserve">. Retrieved 1 August 2026. Note that</w:t>
      </w:r>
      <w:r>
        <w:t xml:space="preserve"> </w:t>
      </w:r>
      <w:r>
        <w:rPr>
          <w:rStyle w:val="VerbatimChar"/>
        </w:rPr>
        <w:t xml:space="preserve">www.bom.gov.au</w:t>
      </w:r>
      <w:r>
        <w:t xml:space="preserve"> </w:t>
      </w:r>
      <w:r>
        <w:t xml:space="preserve">refuses non-browser clients; the same files are</w:t>
      </w:r>
      <w:r>
        <w:t xml:space="preserve"> </w:t>
      </w:r>
      <w:r>
        <w:t xml:space="preserve">served from</w:t>
      </w:r>
      <w:r>
        <w:t xml:space="preserve"> </w:t>
      </w:r>
      <w:r>
        <w:rPr>
          <w:rStyle w:val="VerbatimChar"/>
        </w:rPr>
        <w:t xml:space="preserve">reg.bom.gov.au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Detrending.</w:t>
      </w:r>
      <w:r>
        <w:t xml:space="preserve"> </w:t>
      </w:r>
      <w:r>
        <w:t xml:space="preserve">Each seasonal value is expressed against a 31-year centred rolling</w:t>
      </w:r>
      <w:r>
        <w:t xml:space="preserve"> </w:t>
      </w:r>
      <w:r>
        <w:t xml:space="preserve">mean at that location (minimum 15 years), so composites measure the ENSO signal</w:t>
      </w:r>
      <w:r>
        <w:t xml:space="preserve"> </w:t>
      </w:r>
      <w:r>
        <w:t xml:space="preserve">rather than the long-term trend. At the ends of the record the window is</w:t>
      </w:r>
      <w:r>
        <w:t xml:space="preserve"> </w:t>
      </w:r>
      <w:r>
        <w:t xml:space="preserve">necessarily one-sided; for the 2023 event the effective baseline spans 2008–2025.</w:t>
      </w:r>
      <w:r>
        <w:t xml:space="preserve"> </w:t>
      </w:r>
      <w:r>
        <w:t xml:space="preserve">Undetrended composites against a fixed 1961–90 baseline are reported in Section</w:t>
      </w:r>
      <w:r>
        <w:t xml:space="preserve"> </w:t>
      </w:r>
      <w:r>
        <w:t xml:space="preserve">4.5 and give systematically warmer temperature anomalies, as expected.</w:t>
      </w:r>
    </w:p>
    <w:p>
      <w:pPr>
        <w:pStyle w:val="BodyText"/>
      </w:pPr>
      <w:r>
        <w:rPr>
          <w:b/>
          <w:bCs/>
        </w:rPr>
        <w:t xml:space="preserve">Gridded data.</w:t>
      </w:r>
      <w:r>
        <w:t xml:space="preserve"> </w:t>
      </w:r>
      <w:r>
        <w:t xml:space="preserve">Bureau of Meteorology AGCD v1 monthly rainfall and maximum</w:t>
      </w:r>
      <w:r>
        <w:t xml:space="preserve"> </w:t>
      </w:r>
      <w:r>
        <w:t xml:space="preserve">temperature at 0.05° (about 5 km), 1950–2020, obtained from the NCI THREDDS</w:t>
      </w:r>
      <w:r>
        <w:t xml:space="preserve"> </w:t>
      </w:r>
      <w:r>
        <w:t xml:space="preserve">server and aggregated to 0.25° for mapping</w:t>
      </w:r>
      <w:r>
        <w:t xml:space="preserve"> </w:t>
      </w:r>
      <w:r>
        <w:t xml:space="preserve">(Bureau of Meteorology, 2020)</w:t>
      </w:r>
      <w:r>
        <w:t xml:space="preserve">. The collection ends at</w:t>
      </w:r>
      <w:r>
        <w:t xml:space="preserve"> </w:t>
      </w:r>
      <w:r>
        <w:t xml:space="preserve">2020, so the gridded composites cover 23 of the 24 events but not 2023.</w:t>
      </w:r>
      <w:r>
        <w:t xml:space="preserve"> </w:t>
      </w:r>
      <w:r>
        <w:t xml:space="preserve">Composites use the median rather than the mean across events, because</w:t>
      </w:r>
      <w:r>
        <w:t xml:space="preserve"> </w:t>
      </w:r>
      <w:r>
        <w:t xml:space="preserve">percent-of-average is strongly right-skewed in arid grid cells; cells with a</w:t>
      </w:r>
      <w:r>
        <w:t xml:space="preserve"> </w:t>
      </w:r>
      <w:r>
        <w:t xml:space="preserve">seasonal climatology below 10 mm are masked. AGCD interpolates over ocean rather</w:t>
      </w:r>
      <w:r>
        <w:t xml:space="preserve"> </w:t>
      </w:r>
      <w:r>
        <w:t xml:space="preserve">than masking it, so an Australian land mask (Natural Earth, tested at cell</w:t>
      </w:r>
      <w:r>
        <w:t xml:space="preserve"> </w:t>
      </w:r>
      <w:r>
        <w:t xml:space="preserve">centres) is applied before plotting or averaging.</w:t>
      </w:r>
    </w:p>
    <w:p>
      <w:pPr>
        <w:pStyle w:val="BodyText"/>
      </w:pPr>
      <w:r>
        <w:t xml:space="preserve">The independent GPCC v2020 1° gauge analysis</w:t>
      </w:r>
      <w:r>
        <w:t xml:space="preserve"> </w:t>
      </w:r>
      <w:r>
        <w:t xml:space="preserve">(Global Precipitation Climatology Centre, 2020)</w:t>
      </w:r>
      <w:r>
        <w:t xml:space="preserve"> </w:t>
      </w:r>
      <w:r>
        <w:t xml:space="preserve">was used as a</w:t>
      </w:r>
      <w:r>
        <w:t xml:space="preserve"> </w:t>
      </w:r>
      <w:r>
        <w:t xml:space="preserve">cross-check and agrees with AGCD within 2–6 percentage points on every region box</w:t>
      </w:r>
      <w:r>
        <w:t xml:space="preserve"> </w:t>
      </w:r>
      <w:r>
        <w:t xml:space="preserve">in Section 5. Gridded temperature from GHCN-CAMS was examined in an earlier pass</w:t>
      </w:r>
      <w:r>
        <w:t xml:space="preserve"> </w:t>
      </w:r>
      <w:r>
        <w:t xml:space="preserve">and discarded: it disagrees with the Bureau’s station-based series over northern</w:t>
      </w:r>
      <w:r>
        <w:t xml:space="preserve"> </w:t>
      </w:r>
      <w:r>
        <w:t xml:space="preserve">Australia, where its station density is low.</w:t>
      </w:r>
    </w:p>
    <w:p>
      <w:pPr>
        <w:pStyle w:val="BodyText"/>
      </w:pPr>
      <w:r>
        <w:rPr>
          <w:b/>
          <w:bCs/>
        </w:rPr>
        <w:t xml:space="preserve">Agreement stippling.</w:t>
      </w:r>
      <w:r>
        <w:t xml:space="preserve"> </w:t>
      </w:r>
      <w:r>
        <w:t xml:space="preserve">The maps mark cells where fewer than 60% of events</w:t>
      </w:r>
      <w:r>
        <w:t xml:space="preserve"> </w:t>
      </w:r>
      <w:r>
        <w:t xml:space="preserve">shared the sign of the composite. With 23 events, 60% is 14 of 23 — better than</w:t>
      </w:r>
      <w:r>
        <w:t xml:space="preserve"> </w:t>
      </w:r>
      <w:r>
        <w:t xml:space="preserve">chance but not strong evidence on its own. Individual grid cells are noisier than</w:t>
      </w:r>
      <w:r>
        <w:t xml:space="preserve"> </w:t>
      </w:r>
      <w:r>
        <w:t xml:space="preserve">area averages, so a stippled cell can sit inside a region whose area-averaged</w:t>
      </w:r>
      <w:r>
        <w:t xml:space="preserve"> </w:t>
      </w:r>
      <w:r>
        <w:t xml:space="preserve">signal is consistent; the state-level hit rates in Section 4.4 are the better</w:t>
      </w:r>
      <w:r>
        <w:t xml:space="preserve"> </w:t>
      </w:r>
      <w:r>
        <w:t xml:space="preserve">guide to reliability at the scale most decisions are made.</w:t>
      </w:r>
    </w:p>
    <w:p>
      <w:pPr>
        <w:pStyle w:val="BodyText"/>
      </w:pPr>
      <w:r>
        <w:rPr>
          <w:b/>
          <w:bCs/>
        </w:rPr>
        <w:t xml:space="preserve">Climate indices.</w:t>
      </w:r>
      <w:r>
        <w:t xml:space="preserve"> </w:t>
      </w:r>
      <w:r>
        <w:t xml:space="preserve">Dipole Mode Index from NOAA PSL (HadISST 1.1 basis)</w:t>
      </w:r>
      <w:r>
        <w:t xml:space="preserve"> </w:t>
      </w:r>
      <w:r>
        <w:t xml:space="preserve">(NOAA Physical Sciences Laboratory, 2026)</w:t>
      </w:r>
      <w:r>
        <w:t xml:space="preserve">. Antarctic Oscillation index (used as the SAM proxy) from NOAA CPC,</w:t>
      </w:r>
      <w:r>
        <w:t xml:space="preserve"> </w:t>
      </w:r>
      <w:r>
        <w:t xml:space="preserve">1979–2026</w:t>
      </w:r>
      <w:r>
        <w:t xml:space="preserve"> </w:t>
      </w:r>
      <w:r>
        <w:t xml:space="preserve">(NOAA Climate Prediction Center, 2026b)</w:t>
      </w:r>
      <w:r>
        <w:t xml:space="preserve">. Southern Oscillation Index from NOAA CPC.</w:t>
      </w:r>
    </w:p>
    <w:p>
      <w:pPr>
        <w:pStyle w:val="BodyText"/>
      </w:pPr>
      <w:r>
        <w:t xml:space="preserve">The HadISST-based long Dipole Mode Index has a mean of −0.17 °C and a standard</w:t>
      </w:r>
      <w:r>
        <w:t xml:space="preserve"> </w:t>
      </w:r>
      <w:r>
        <w:t xml:space="preserve">deviation of 0.42 °C over the springs of 1950–2025, so it sits lower than the</w:t>
      </w:r>
      <w:r>
        <w:t xml:space="preserve"> </w:t>
      </w:r>
      <w:r>
        <w:t xml:space="preserve">Bureau’s operational index. The conventional +0.4 °C positive-IOD threshold</w:t>
      </w:r>
      <w:r>
        <w:t xml:space="preserve"> </w:t>
      </w:r>
      <w:r>
        <w:t xml:space="preserve">selects nine of those 76 springs, or 12% — close to, and slightly stricter than,</w:t>
      </w:r>
      <w:r>
        <w:t xml:space="preserve"> </w:t>
      </w:r>
      <w:r>
        <w:t xml:space="preserve">the observed frequency of positive IOD events. Section 3.3 uses that threshold,</w:t>
      </w:r>
      <w:r>
        <w:t xml:space="preserve"> </w:t>
      </w:r>
      <w:r>
        <w:t xml:space="preserve">and reports a robustness check at +0.25 °C (one standard deviation above the</w:t>
      </w:r>
      <w:r>
        <w:t xml:space="preserve"> </w:t>
      </w:r>
      <w:r>
        <w:t xml:space="preserve">mean, 17% of springs).</w:t>
      </w:r>
    </w:p>
    <w:p>
      <w:pPr>
        <w:pStyle w:val="BodyText"/>
      </w:pPr>
      <w:r>
        <w:t xml:space="preserve">An earlier version of this note classified the IOD by terciles of the same</w:t>
      </w:r>
      <w:r>
        <w:t xml:space="preserve"> </w:t>
      </w:r>
      <w:r>
        <w:t xml:space="preserve">distribution instead. That was a mistake worth recording: because the series is</w:t>
      </w:r>
      <w:r>
        <w:t xml:space="preserve"> </w:t>
      </w:r>
      <w:r>
        <w:t xml:space="preserve">centred below zero, the upper tercile begins at −0.06 °C, so a group labelled</w:t>
      </w:r>
      <w:r>
        <w:t xml:space="preserve"> </w:t>
      </w:r>
      <w:r>
        <w:t xml:space="preserve">“upper-third IOD”</w:t>
      </w:r>
      <w:r>
        <w:t xml:space="preserve"> </w:t>
      </w:r>
      <w:r>
        <w:t xml:space="preserve">was in substance</w:t>
      </w:r>
      <w:r>
        <w:t xml:space="preserve"> </w:t>
      </w:r>
      <w:r>
        <w:t xml:space="preserve">“IOD above roughly zero”</w:t>
      </w:r>
      <w:r>
        <w:t xml:space="preserve"> </w:t>
      </w:r>
      <w:r>
        <w:t xml:space="preserve">and a reader would</w:t>
      </w:r>
      <w:r>
        <w:t xml:space="preserve"> </w:t>
      </w:r>
      <w:r>
        <w:t xml:space="preserve">reasonably have taken it to mean a positive IOD event. The direction of the</w:t>
      </w:r>
      <w:r>
        <w:t xml:space="preserve"> </w:t>
      </w:r>
      <w:r>
        <w:t xml:space="preserve">finding was unaffected, but the magnitudes were overstated in the south — the</w:t>
      </w:r>
      <w:r>
        <w:t xml:space="preserve"> </w:t>
      </w:r>
      <w:r>
        <w:t xml:space="preserve">Victorian gap was reported as 32 percentage points where the correct figure on a</w:t>
      </w:r>
      <w:r>
        <w:t xml:space="preserve"> </w:t>
      </w:r>
      <w:r>
        <w:t xml:space="preserve">properly-defined positive IOD is 22, and the Murray-Darling gap as 25 where it is</w:t>
      </w:r>
      <w:r>
        <w:t xml:space="preserve"> </w:t>
      </w:r>
      <w:r>
        <w:t xml:space="preserve">10. The tercile split had been adopted to keep the</w:t>
      </w:r>
      <w:r>
        <w:t xml:space="preserve"> </w:t>
      </w:r>
      <w:r>
        <w:t xml:space="preserve">“positive IOD without El Niño”</w:t>
      </w:r>
      <w:r>
        <w:t xml:space="preserve"> </w:t>
      </w:r>
      <w:r>
        <w:t xml:space="preserve">cell populated; that cell contains a single year on any defensible threshold and</w:t>
      </w:r>
      <w:r>
        <w:t xml:space="preserve"> </w:t>
      </w:r>
      <w:r>
        <w:t xml:space="preserve">is now omitted rather than estimated.</w:t>
      </w:r>
    </w:p>
    <w:p>
      <w:pPr>
        <w:pStyle w:val="BodyText"/>
      </w:pPr>
      <w:r>
        <w:rPr>
          <w:b/>
          <w:bCs/>
        </w:rPr>
        <w:t xml:space="preserve">Principal limitations.</w:t>
      </w:r>
    </w:p>
    <w:p>
      <w:pPr>
        <w:pStyle w:val="Compact"/>
        <w:numPr>
          <w:ilvl w:val="0"/>
          <w:numId w:val="1005"/>
        </w:numPr>
      </w:pPr>
      <w:r>
        <w:t xml:space="preserve">Composite means across 24 events conceal wide spreads. Every regional average in</w:t>
      </w:r>
      <w:r>
        <w:t xml:space="preserve"> </w:t>
      </w:r>
      <w:r>
        <w:t xml:space="preserve">this note has individual events on both sides of normal.</w:t>
      </w:r>
    </w:p>
    <w:p>
      <w:pPr>
        <w:pStyle w:val="Compact"/>
        <w:numPr>
          <w:ilvl w:val="0"/>
          <w:numId w:val="1005"/>
        </w:numPr>
      </w:pPr>
      <w:r>
        <w:t xml:space="preserve">ENSO, the IOD and the SAM are not independent. Spring Niño 3.4 correlates +0.55</w:t>
      </w:r>
      <w:r>
        <w:t xml:space="preserve"> </w:t>
      </w:r>
      <w:r>
        <w:t xml:space="preserve">with the Dipole Mode Index and −0.25 with the SAM index over the periods</w:t>
      </w:r>
      <w:r>
        <w:t xml:space="preserve"> </w:t>
      </w:r>
      <w:r>
        <w:t xml:space="preserve">available. The Section 3.3 decomposition separates ENSO and IOD but cannot fully</w:t>
      </w:r>
      <w:r>
        <w:t xml:space="preserve"> </w:t>
      </w:r>
      <w:r>
        <w:t xml:space="preserve">attribute causation between two correlated drivers.</w:t>
      </w:r>
    </w:p>
    <w:p>
      <w:pPr>
        <w:pStyle w:val="Compact"/>
        <w:numPr>
          <w:ilvl w:val="0"/>
          <w:numId w:val="1005"/>
        </w:numPr>
      </w:pPr>
      <w:r>
        <w:t xml:space="preserve">The Eastern Pacific versus Central Pacific classification uses a simple</w:t>
      </w:r>
      <w:r>
        <w:t xml:space="preserve"> </w:t>
      </w:r>
      <w:r>
        <w:t xml:space="preserve">comparison of spring Niño 3 and Niño 4 anomalies rather than a formal index, and</w:t>
      </w:r>
      <w:r>
        <w:t xml:space="preserve"> </w:t>
      </w:r>
      <w:r>
        <w:t xml:space="preserve">the Central Pacific sample is only seven events.</w:t>
      </w:r>
    </w:p>
    <w:p>
      <w:pPr>
        <w:pStyle w:val="Compact"/>
        <w:numPr>
          <w:ilvl w:val="0"/>
          <w:numId w:val="1005"/>
        </w:numPr>
      </w:pPr>
      <w:r>
        <w:t xml:space="preserve">State-level averages blend climatically distinct regions, particularly in</w:t>
      </w:r>
      <w:r>
        <w:t xml:space="preserve"> </w:t>
      </w:r>
      <w:r>
        <w:t xml:space="preserve">Western Australia and Queensland. Section 5 uses gridded data to address this</w:t>
      </w:r>
      <w:r>
        <w:t xml:space="preserve"> </w:t>
      </w:r>
      <w:r>
        <w:t xml:space="preserve">but at 1° resolution and with sparse gauge coverage in the interior.</w:t>
      </w:r>
    </w:p>
    <w:p>
      <w:pPr>
        <w:pStyle w:val="Compact"/>
        <w:numPr>
          <w:ilvl w:val="0"/>
          <w:numId w:val="1005"/>
        </w:numPr>
      </w:pPr>
      <w:r>
        <w:t xml:space="preserve">Nothing in this note is a forecast for 2026–27. It is a description of what past</w:t>
      </w:r>
      <w:r>
        <w:t xml:space="preserve"> </w:t>
      </w:r>
      <w:r>
        <w:t xml:space="preserve">events did, conditioned on drivers whose 2026 values are partly still unknown.</w:t>
      </w:r>
    </w:p>
    <w:p>
      <w:pPr>
        <w:pStyle w:val="FirstParagraph"/>
      </w:pPr>
      <w:r>
        <w:rPr>
          <w:b/>
          <w:bCs/>
        </w:rPr>
        <w:t xml:space="preserve">Reproduction.</w:t>
      </w:r>
      <w:r>
        <w:t xml:space="preserve"> </w:t>
      </w:r>
      <w:r>
        <w:t xml:space="preserve">Analysis scripts (</w:t>
      </w:r>
      <w:r>
        <w:rPr>
          <w:rStyle w:val="VerbatimChar"/>
        </w:rPr>
        <w:t xml:space="preserve">fetch_bom.py</w:t>
      </w:r>
      <w:r>
        <w:t xml:space="preserve">,</w:t>
      </w:r>
      <w:r>
        <w:t xml:space="preserve"> </w:t>
      </w:r>
      <w:r>
        <w:rPr>
          <w:rStyle w:val="VerbatimChar"/>
        </w:rPr>
        <w:t xml:space="preserve">analyse2.py</w:t>
      </w:r>
      <w:r>
        <w:t xml:space="preserve">,</w:t>
      </w:r>
      <w:r>
        <w:t xml:space="preserve"> </w:t>
      </w:r>
      <w:r>
        <w:rPr>
          <w:rStyle w:val="VerbatimChar"/>
        </w:rPr>
        <w:t xml:space="preserve">analyse3.py</w:t>
      </w:r>
      <w:r>
        <w:t xml:space="preserve">,</w:t>
      </w:r>
      <w:r>
        <w:t xml:space="preserve"> </w:t>
      </w:r>
      <w:r>
        <w:rPr>
          <w:rStyle w:val="VerbatimChar"/>
        </w:rPr>
        <w:t xml:space="preserve">gridded.py</w:t>
      </w:r>
      <w:r>
        <w:t xml:space="preserve">,</w:t>
      </w:r>
      <w:r>
        <w:t xml:space="preserve"> </w:t>
      </w:r>
      <w:r>
        <w:rPr>
          <w:rStyle w:val="VerbatimChar"/>
        </w:rPr>
        <w:t xml:space="preserve">charts.py</w:t>
      </w:r>
      <w:r>
        <w:t xml:space="preserve">) and intermediate CSVs are held with the working files</w:t>
      </w:r>
      <w:r>
        <w:t xml:space="preserve"> </w:t>
      </w:r>
      <w:r>
        <w:t xml:space="preserve">for this note. All source data are public.</w:t>
      </w:r>
    </w:p>
    <w:bookmarkStart w:id="123" w:name="refs"/>
    <w:bookmarkStart w:id="84" w:name="ref-abares-crop-2026jun"/>
    <w:p>
      <w:pPr>
        <w:pStyle w:val="Bibliography"/>
      </w:pPr>
      <w:r>
        <w:t xml:space="preserve">ABARES. (2026).</w:t>
      </w:r>
      <w:r>
        <w:t xml:space="preserve"> </w:t>
      </w:r>
      <w:r>
        <w:rPr>
          <w:i/>
          <w:iCs/>
        </w:rPr>
        <w:t xml:space="preserve">Australian crop report: June 2026, no. 218</w:t>
      </w:r>
      <w:r>
        <w:t xml:space="preserve">. Australian Bureau of Agricultural; Resource Economics; Sciences, Department of Agriculture, Fisheries; Forestry.</w:t>
      </w:r>
      <w:r>
        <w:t xml:space="preserve"> </w:t>
      </w:r>
      <w:hyperlink r:id="rId83">
        <w:r>
          <w:rPr>
            <w:rStyle w:val="Hyperlink"/>
          </w:rPr>
          <w:t xml:space="preserve">https://www.agriculture.gov.au/abares/research-topics/agricultural-outlook/australian-crop-report/june-2026</w:t>
        </w:r>
      </w:hyperlink>
    </w:p>
    <w:bookmarkEnd w:id="84"/>
    <w:bookmarkStart w:id="86" w:name="ref-afac-winter-2026"/>
    <w:p>
      <w:pPr>
        <w:pStyle w:val="Bibliography"/>
      </w:pPr>
      <w:r>
        <w:t xml:space="preserve">Australasian Fire and Emergency Service Authorities Council. (2026).</w:t>
      </w:r>
      <w:r>
        <w:t xml:space="preserve"> </w:t>
      </w:r>
      <w:r>
        <w:rPr>
          <w:i/>
          <w:iCs/>
        </w:rPr>
        <w:t xml:space="preserve">Seasonal bushfire outlook: Winter 2026</w:t>
      </w:r>
      <w:r>
        <w:t xml:space="preserve">.</w:t>
      </w:r>
      <w:r>
        <w:t xml:space="preserve"> </w:t>
      </w:r>
      <w:hyperlink r:id="rId85">
        <w:r>
          <w:rPr>
            <w:rStyle w:val="Hyperlink"/>
          </w:rPr>
          <w:t xml:space="preserve">https://www.afac.com.au/public-resources/seasonal-bushfire-outlook-winter-2026</w:t>
        </w:r>
      </w:hyperlink>
    </w:p>
    <w:bookmarkEnd w:id="86"/>
    <w:bookmarkStart w:id="88" w:name="ref-aims-bleaching"/>
    <w:p>
      <w:pPr>
        <w:pStyle w:val="Bibliography"/>
      </w:pPr>
      <w:r>
        <w:t xml:space="preserve">Australian Institute of Marine Science. (2026).</w:t>
      </w:r>
      <w:r>
        <w:t xml:space="preserve"> </w:t>
      </w:r>
      <w:r>
        <w:rPr>
          <w:i/>
          <w:iCs/>
        </w:rPr>
        <w:t xml:space="preserve">Coral bleaching events</w:t>
      </w:r>
      <w:r>
        <w:t xml:space="preserve">.</w:t>
      </w:r>
      <w:r>
        <w:t xml:space="preserve"> </w:t>
      </w:r>
      <w:hyperlink r:id="rId87">
        <w:r>
          <w:rPr>
            <w:rStyle w:val="Hyperlink"/>
          </w:rPr>
          <w:t xml:space="preserve">https://www.aims.gov.au/research-topics/environmental-issues/coral-bleaching/coral-bleaching-events</w:t>
        </w:r>
      </w:hyperlink>
    </w:p>
    <w:bookmarkEnd w:id="88"/>
    <w:bookmarkStart w:id="90" w:name="ref-arr-water-2026"/>
    <w:p>
      <w:pPr>
        <w:pStyle w:val="Bibliography"/>
      </w:pPr>
      <w:r>
        <w:t xml:space="preserve">Australian Rural and Regional News. (2026).</w:t>
      </w:r>
      <w:r>
        <w:t xml:space="preserve"> </w:t>
      </w:r>
      <w:r>
        <w:rPr>
          <w:i/>
          <w:iCs/>
        </w:rPr>
        <w:t xml:space="preserve">Murray-darling water allocations: Where things stand heading into winter 2026</w:t>
      </w:r>
      <w:r>
        <w:t xml:space="preserve">.</w:t>
      </w:r>
      <w:r>
        <w:t xml:space="preserve"> </w:t>
      </w:r>
      <w:hyperlink r:id="rId89">
        <w:r>
          <w:rPr>
            <w:rStyle w:val="Hyperlink"/>
          </w:rPr>
          <w:t xml:space="preserve">https://arr.news/2026/05/25/murray-darling-water-allocations-where-things-stand-heading-into-winter-2026/</w:t>
        </w:r>
      </w:hyperlink>
    </w:p>
    <w:bookmarkEnd w:id="90"/>
    <w:bookmarkStart w:id="92" w:name="ref-treasury-drought-2004"/>
    <w:p>
      <w:pPr>
        <w:pStyle w:val="Bibliography"/>
      </w:pPr>
      <w:r>
        <w:t xml:space="preserve">Australian Treasury. (2004). The impact of the 2002 drought on the economy and agricultural employment.</w:t>
      </w:r>
      <w:r>
        <w:t xml:space="preserve"> </w:t>
      </w:r>
      <w:r>
        <w:rPr>
          <w:i/>
          <w:iCs/>
        </w:rPr>
        <w:t xml:space="preserve">Economic Roundup</w:t>
      </w:r>
      <w:r>
        <w:t xml:space="preserve">,</w:t>
      </w:r>
      <w:r>
        <w:t xml:space="preserve"> </w:t>
      </w:r>
      <w:r>
        <w:rPr>
          <w:i/>
          <w:iCs/>
        </w:rPr>
        <w:t xml:space="preserve">Autumn 2004</w:t>
      </w:r>
      <w:r>
        <w:t xml:space="preserve">.</w:t>
      </w:r>
      <w:r>
        <w:t xml:space="preserve"> </w:t>
      </w:r>
      <w:hyperlink r:id="rId91">
        <w:r>
          <w:rPr>
            <w:rStyle w:val="Hyperlink"/>
          </w:rPr>
          <w:t xml:space="preserve">https://treasury.gov.au/publication/economic-roundup-autumn-2004/the-impact-of-the-2002-drought-on-the-economy-and-agricultural-employment</w:t>
        </w:r>
      </w:hyperlink>
    </w:p>
    <w:bookmarkEnd w:id="92"/>
    <w:bookmarkStart w:id="94" w:name="ref-bom-agcd"/>
    <w:p>
      <w:pPr>
        <w:pStyle w:val="Bibliography"/>
      </w:pPr>
      <w:r>
        <w:t xml:space="preserve">Bureau of Meteorology. (2020).</w:t>
      </w:r>
      <w:r>
        <w:t xml:space="preserve"> </w:t>
      </w:r>
      <w:r>
        <w:rPr>
          <w:i/>
          <w:iCs/>
        </w:rPr>
        <w:t xml:space="preserve">Australian gridded climate data (AGCD) v1: Monthly rainfall and maximum temperature, 0.05 degree</w:t>
      </w:r>
      <w:r>
        <w:t xml:space="preserve">. Commonwealth of Australia, distributed by NCI Australia.</w:t>
      </w:r>
      <w:r>
        <w:t xml:space="preserve"> </w:t>
      </w:r>
      <w:hyperlink r:id="rId93">
        <w:r>
          <w:rPr>
            <w:rStyle w:val="Hyperlink"/>
          </w:rPr>
          <w:t xml:space="preserve">https://thredds.nci.org.au/thredds/catalog/zv2/agcd/v1/catalog.html</w:t>
        </w:r>
      </w:hyperlink>
    </w:p>
    <w:bookmarkEnd w:id="94"/>
    <w:bookmarkStart w:id="96" w:name="ref-bom-area-avg"/>
    <w:p>
      <w:pPr>
        <w:pStyle w:val="Bibliography"/>
      </w:pPr>
      <w:r>
        <w:t xml:space="preserve">Bureau of Meteorology. (2026a).</w:t>
      </w:r>
      <w:r>
        <w:t xml:space="preserve"> </w:t>
      </w:r>
      <w:r>
        <w:rPr>
          <w:i/>
          <w:iCs/>
        </w:rPr>
        <w:t xml:space="preserve">Australian climate variability and change — area-averaged time series (rainfall from 1900; ACORN-SAT temperature from 1910)</w:t>
      </w:r>
      <w:r>
        <w:t xml:space="preserve">. Commonwealth of Australia.</w:t>
      </w:r>
      <w:r>
        <w:t xml:space="preserve"> </w:t>
      </w:r>
      <w:hyperlink r:id="rId95">
        <w:r>
          <w:rPr>
            <w:rStyle w:val="Hyperlink"/>
          </w:rPr>
          <w:t xml:space="preserve">https://www.bom.gov.au/climate/change/</w:t>
        </w:r>
      </w:hyperlink>
    </w:p>
    <w:bookmarkEnd w:id="96"/>
    <w:bookmarkStart w:id="98" w:name="ref-bom-lrf-2026jul"/>
    <w:p>
      <w:pPr>
        <w:pStyle w:val="Bibliography"/>
      </w:pPr>
      <w:r>
        <w:t xml:space="preserve">Bureau of Meteorology. (2026b).</w:t>
      </w:r>
      <w:r>
        <w:t xml:space="preserve"> </w:t>
      </w:r>
      <w:r>
        <w:rPr>
          <w:i/>
          <w:iCs/>
        </w:rPr>
        <w:t xml:space="preserve">Australian long-range forecast, august to october 2026, issued 30 july 2026</w:t>
      </w:r>
      <w:r>
        <w:t xml:space="preserve">. Commonwealth of Australia.</w:t>
      </w:r>
      <w:r>
        <w:t xml:space="preserve"> </w:t>
      </w:r>
      <w:hyperlink r:id="rId97">
        <w:r>
          <w:rPr>
            <w:rStyle w:val="Hyperlink"/>
          </w:rPr>
          <w:t xml:space="preserve">https://www.bom.gov.au/climate/ahead/outlooks/</w:t>
        </w:r>
      </w:hyperlink>
    </w:p>
    <w:bookmarkEnd w:id="98"/>
    <w:bookmarkStart w:id="100" w:name="ref-bom-sam"/>
    <w:p>
      <w:pPr>
        <w:pStyle w:val="Bibliography"/>
      </w:pPr>
      <w:r>
        <w:t xml:space="preserve">Bureau of Meteorology. (2026c).</w:t>
      </w:r>
      <w:r>
        <w:t xml:space="preserve"> </w:t>
      </w:r>
      <w:r>
        <w:rPr>
          <w:i/>
          <w:iCs/>
        </w:rPr>
        <w:t xml:space="preserve">Southern annular mode — climate factors</w:t>
      </w:r>
      <w:r>
        <w:t xml:space="preserve">. Commonwealth of Australia.</w:t>
      </w:r>
      <w:r>
        <w:t xml:space="preserve"> </w:t>
      </w:r>
      <w:hyperlink r:id="rId99">
        <w:r>
          <w:rPr>
            <w:rStyle w:val="Hyperlink"/>
          </w:rPr>
          <w:t xml:space="preserve">https://www.bom.gov.au/climate/sam/</w:t>
        </w:r>
      </w:hyperlink>
    </w:p>
    <w:bookmarkEnd w:id="100"/>
    <w:bookmarkStart w:id="102" w:name="ref-bom-enso-2026jul"/>
    <w:p>
      <w:pPr>
        <w:pStyle w:val="Bibliography"/>
      </w:pPr>
      <w:r>
        <w:t xml:space="preserve">Bureau of Meteorology. (2026d).</w:t>
      </w:r>
      <w:r>
        <w:t xml:space="preserve"> </w:t>
      </w:r>
      <w:r>
        <w:rPr>
          <w:i/>
          <w:iCs/>
        </w:rPr>
        <w:t xml:space="preserve">Southern hemisphere monitoring — climate driver update, 28 july 2026</w:t>
      </w:r>
      <w:r>
        <w:t xml:space="preserve">. Commonwealth of Australia.</w:t>
      </w:r>
      <w:r>
        <w:t xml:space="preserve"> </w:t>
      </w:r>
      <w:hyperlink r:id="rId101">
        <w:r>
          <w:rPr>
            <w:rStyle w:val="Hyperlink"/>
          </w:rPr>
          <w:t xml:space="preserve">https://www.bom.gov.au/climate/enso/</w:t>
        </w:r>
      </w:hyperlink>
    </w:p>
    <w:bookmarkEnd w:id="102"/>
    <w:bookmarkStart w:id="104" w:name="ref-bom-elnino-australia"/>
    <w:p>
      <w:pPr>
        <w:pStyle w:val="Bibliography"/>
      </w:pPr>
      <w:r>
        <w:t xml:space="preserve">Bureau of Meteorology. (2026e).</w:t>
      </w:r>
      <w:r>
        <w:t xml:space="preserve"> </w:t>
      </w:r>
      <w:r>
        <w:rPr>
          <w:i/>
          <w:iCs/>
        </w:rPr>
        <w:t xml:space="preserve">What is el niño and what might it mean for australia?</w:t>
      </w:r>
      <w:r>
        <w:t xml:space="preserve"> Commonwealth of Australia.</w:t>
      </w:r>
      <w:r>
        <w:t xml:space="preserve"> </w:t>
      </w:r>
      <w:hyperlink r:id="rId103">
        <w:r>
          <w:rPr>
            <w:rStyle w:val="Hyperlink"/>
          </w:rPr>
          <w:t xml:space="preserve">https://www.bom.gov.au/climate/updates/articles/a008-el-nino-and-australia.shtml</w:t>
        </w:r>
      </w:hyperlink>
    </w:p>
    <w:bookmarkEnd w:id="104"/>
    <w:bookmarkStart w:id="106" w:name="ref-gpcc-v2020"/>
    <w:p>
      <w:pPr>
        <w:pStyle w:val="Bibliography"/>
      </w:pPr>
      <w:r>
        <w:t xml:space="preserve">Global Precipitation Climatology Centre. (2020).</w:t>
      </w:r>
      <w:r>
        <w:t xml:space="preserve"> </w:t>
      </w:r>
      <w:r>
        <w:rPr>
          <w:i/>
          <w:iCs/>
        </w:rPr>
        <w:t xml:space="preserve">GPCC full data monthly product version 2020 at 1.0 degree</w:t>
      </w:r>
      <w:r>
        <w:t xml:space="preserve">. Deutscher Wetterdienst, distributed by NOAA PSL.</w:t>
      </w:r>
      <w:r>
        <w:t xml:space="preserve"> </w:t>
      </w:r>
      <w:hyperlink r:id="rId105">
        <w:r>
          <w:rPr>
            <w:rStyle w:val="Hyperlink"/>
          </w:rPr>
          <w:t xml:space="preserve">https://psl.noaa.gov/data/gridded/data.gpcc.html</w:t>
        </w:r>
      </w:hyperlink>
    </w:p>
    <w:bookmarkEnd w:id="106"/>
    <w:bookmarkStart w:id="108" w:name="ref-grattan-bushfire-health-2020"/>
    <w:p>
      <w:pPr>
        <w:pStyle w:val="Bibliography"/>
      </w:pPr>
      <w:r>
        <w:t xml:space="preserve">Grattan Institute. (2020).</w:t>
      </w:r>
      <w:r>
        <w:t xml:space="preserve"> </w:t>
      </w:r>
      <w:r>
        <w:rPr>
          <w:i/>
          <w:iCs/>
        </w:rPr>
        <w:t xml:space="preserve">The health effects of the 2019-20 bushfires: Submission to the royal commission into national natural disaster arrangements</w:t>
      </w:r>
      <w:r>
        <w:t xml:space="preserve">. Grattan Institute.</w:t>
      </w:r>
      <w:r>
        <w:t xml:space="preserve"> </w:t>
      </w:r>
      <w:hyperlink r:id="rId107">
        <w:r>
          <w:rPr>
            <w:rStyle w:val="Hyperlink"/>
          </w:rPr>
          <w:t xml:space="preserve">https://grattan.edu.au/wp-content/uploads/2020/04/Grattan-Institute-submission-to-Royal-Commission.pdf</w:t>
        </w:r>
      </w:hyperlink>
    </w:p>
    <w:bookmarkEnd w:id="108"/>
    <w:bookmarkStart w:id="110" w:name="ref-cpc-ensodisc-2026jul"/>
    <w:p>
      <w:pPr>
        <w:pStyle w:val="Bibliography"/>
      </w:pPr>
      <w:r>
        <w:t xml:space="preserve">NOAA Climate Prediction Center. (2026a).</w:t>
      </w:r>
      <w:r>
        <w:t xml:space="preserve"> </w:t>
      </w:r>
      <w:r>
        <w:rPr>
          <w:i/>
          <w:iCs/>
        </w:rPr>
        <w:t xml:space="preserve">El niño/southern oscillation (ENSO) diagnostic discussion, 9 july 2026</w:t>
      </w:r>
      <w:r>
        <w:t xml:space="preserve">. NOAA/NWS/NCEP Climate Prediction Center.</w:t>
      </w:r>
      <w:r>
        <w:t xml:space="preserve"> </w:t>
      </w:r>
      <w:hyperlink r:id="rId109">
        <w:r>
          <w:rPr>
            <w:rStyle w:val="Hyperlink"/>
          </w:rPr>
          <w:t xml:space="preserve">https://www.cpc.ncep.noaa.gov/products/analysis_monitoring/enso_advisory/ensodisc.shtml</w:t>
        </w:r>
      </w:hyperlink>
    </w:p>
    <w:bookmarkEnd w:id="110"/>
    <w:bookmarkStart w:id="112" w:name="ref-cpc-aao"/>
    <w:p>
      <w:pPr>
        <w:pStyle w:val="Bibliography"/>
      </w:pPr>
      <w:r>
        <w:t xml:space="preserve">NOAA Climate Prediction Center. (2026b).</w:t>
      </w:r>
      <w:r>
        <w:t xml:space="preserve"> </w:t>
      </w:r>
      <w:r>
        <w:rPr>
          <w:i/>
          <w:iCs/>
        </w:rPr>
        <w:t xml:space="preserve">Monthly antarctic oscillation (AAO) index, 1979–2026</w:t>
      </w:r>
      <w:r>
        <w:t xml:space="preserve">.</w:t>
      </w:r>
      <w:r>
        <w:t xml:space="preserve"> </w:t>
      </w:r>
      <w:hyperlink r:id="rId111">
        <w:r>
          <w:rPr>
            <w:rStyle w:val="Hyperlink"/>
          </w:rPr>
          <w:t xml:space="preserve">https://www.cpc.ncep.noaa.gov/products/precip/CWlink/daily_ao_index/aao/monthly.aao.index.b79.current.ascii</w:t>
        </w:r>
      </w:hyperlink>
    </w:p>
    <w:bookmarkEnd w:id="112"/>
    <w:bookmarkStart w:id="114" w:name="ref-cpc-oni-2026"/>
    <w:p>
      <w:pPr>
        <w:pStyle w:val="Bibliography"/>
      </w:pPr>
      <w:r>
        <w:t xml:space="preserve">NOAA Climate Prediction Center. (2026c).</w:t>
      </w:r>
      <w:r>
        <w:t xml:space="preserve"> </w:t>
      </w:r>
      <w:r>
        <w:rPr>
          <w:i/>
          <w:iCs/>
        </w:rPr>
        <w:t xml:space="preserve">Oceanic niño index (ONI), ERSSTv5, 1950–2026</w:t>
      </w:r>
      <w:r>
        <w:t xml:space="preserve">.</w:t>
      </w:r>
      <w:r>
        <w:t xml:space="preserve"> </w:t>
      </w:r>
      <w:hyperlink r:id="rId113">
        <w:r>
          <w:rPr>
            <w:rStyle w:val="Hyperlink"/>
          </w:rPr>
          <w:t xml:space="preserve">https://www.cpc.ncep.noaa.gov/data/indices/oni.ascii.txt</w:t>
        </w:r>
      </w:hyperlink>
    </w:p>
    <w:bookmarkEnd w:id="114"/>
    <w:bookmarkStart w:id="116" w:name="ref-cpc-wksst-2026"/>
    <w:p>
      <w:pPr>
        <w:pStyle w:val="Bibliography"/>
      </w:pPr>
      <w:r>
        <w:t xml:space="preserve">NOAA Climate Prediction Center. (2026d).</w:t>
      </w:r>
      <w:r>
        <w:t xml:space="preserve"> </w:t>
      </w:r>
      <w:r>
        <w:rPr>
          <w:i/>
          <w:iCs/>
        </w:rPr>
        <w:t xml:space="preserve">Weekly niño region sea surface temperature and anomaly indices (1991–2020 base)</w:t>
      </w:r>
      <w:r>
        <w:t xml:space="preserve">.</w:t>
      </w:r>
      <w:r>
        <w:t xml:space="preserve"> </w:t>
      </w:r>
      <w:hyperlink r:id="rId115">
        <w:r>
          <w:rPr>
            <w:rStyle w:val="Hyperlink"/>
          </w:rPr>
          <w:t xml:space="preserve">https://www.cpc.ncep.noaa.gov/data/indices/wksst9120.for</w:t>
        </w:r>
      </w:hyperlink>
    </w:p>
    <w:bookmarkEnd w:id="116"/>
    <w:bookmarkStart w:id="118" w:name="ref-psl-dmi"/>
    <w:p>
      <w:pPr>
        <w:pStyle w:val="Bibliography"/>
      </w:pPr>
      <w:r>
        <w:t xml:space="preserve">NOAA Physical Sciences Laboratory. (2026).</w:t>
      </w:r>
      <w:r>
        <w:t xml:space="preserve"> </w:t>
      </w:r>
      <w:r>
        <w:rPr>
          <w:i/>
          <w:iCs/>
        </w:rPr>
        <w:t xml:space="preserve">Dipole mode index (HadISST 1.1 basis), monthly 1870–2026</w:t>
      </w:r>
      <w:r>
        <w:t xml:space="preserve">.</w:t>
      </w:r>
      <w:r>
        <w:t xml:space="preserve"> </w:t>
      </w:r>
      <w:hyperlink r:id="rId117">
        <w:r>
          <w:rPr>
            <w:rStyle w:val="Hyperlink"/>
          </w:rPr>
          <w:t xml:space="preserve">https://psl.noaa.gov/gcos_wgsp/Timeseries/DMI/</w:t>
        </w:r>
      </w:hyperlink>
    </w:p>
    <w:bookmarkEnd w:id="118"/>
    <w:bookmarkStart w:id="120" w:name="ref-taschetto-england-2009"/>
    <w:p>
      <w:pPr>
        <w:pStyle w:val="Bibliography"/>
      </w:pPr>
      <w:r>
        <w:t xml:space="preserve">Taschetto, A. S., &amp; England, M. H. (2009). El</w:t>
      </w:r>
      <w:r>
        <w:t xml:space="preserve"> </w:t>
      </w:r>
      <w:r>
        <w:t xml:space="preserve">N</w:t>
      </w:r>
      <w:r>
        <w:t xml:space="preserve">iño</w:t>
      </w:r>
      <w:r>
        <w:t xml:space="preserve"> </w:t>
      </w:r>
      <w:r>
        <w:t xml:space="preserve">M</w:t>
      </w:r>
      <w:r>
        <w:t xml:space="preserve">odoki impacts on</w:t>
      </w:r>
      <w:r>
        <w:t xml:space="preserve"> </w:t>
      </w:r>
      <w:r>
        <w:t xml:space="preserve">A</w:t>
      </w:r>
      <w:r>
        <w:t xml:space="preserve">ustralian rainfall.</w:t>
      </w:r>
      <w:r>
        <w:t xml:space="preserve"> </w:t>
      </w:r>
      <w:r>
        <w:rPr>
          <w:i/>
          <w:iCs/>
        </w:rPr>
        <w:t xml:space="preserve">Journal of Climate</w:t>
      </w:r>
      <w:r>
        <w:t xml:space="preserve">,</w:t>
      </w:r>
      <w:r>
        <w:t xml:space="preserve"> </w:t>
      </w:r>
      <w:r>
        <w:rPr>
          <w:i/>
          <w:iCs/>
        </w:rPr>
        <w:t xml:space="preserve">22</w:t>
      </w:r>
      <w:r>
        <w:t xml:space="preserve">(11), 3167–3174.</w:t>
      </w:r>
      <w:r>
        <w:t xml:space="preserve"> </w:t>
      </w:r>
      <w:hyperlink r:id="rId119">
        <w:r>
          <w:rPr>
            <w:rStyle w:val="Hyperlink"/>
          </w:rPr>
          <w:t xml:space="preserve">https://doi.org/10.1175/2008JCLI2589.1</w:t>
        </w:r>
      </w:hyperlink>
    </w:p>
    <w:bookmarkEnd w:id="120"/>
    <w:bookmarkStart w:id="122" w:name="ref-wang-hendon-2007"/>
    <w:p>
      <w:pPr>
        <w:pStyle w:val="Bibliography"/>
      </w:pPr>
      <w:r>
        <w:t xml:space="preserve">Wang, G., &amp; Hendon, H. H. (2007). Sensitivity of</w:t>
      </w:r>
      <w:r>
        <w:t xml:space="preserve"> </w:t>
      </w:r>
      <w:r>
        <w:t xml:space="preserve">A</w:t>
      </w:r>
      <w:r>
        <w:t xml:space="preserve">ustralian rainfall to inter–</w:t>
      </w:r>
      <w:r>
        <w:t xml:space="preserve">E</w:t>
      </w:r>
      <w:r>
        <w:t xml:space="preserve">l</w:t>
      </w:r>
      <w:r>
        <w:t xml:space="preserve"> </w:t>
      </w:r>
      <w:r>
        <w:t xml:space="preserve">N</w:t>
      </w:r>
      <w:r>
        <w:t xml:space="preserve">iño variations.</w:t>
      </w:r>
      <w:r>
        <w:t xml:space="preserve"> </w:t>
      </w:r>
      <w:r>
        <w:rPr>
          <w:i/>
          <w:iCs/>
        </w:rPr>
        <w:t xml:space="preserve">Journal of Climate</w:t>
      </w:r>
      <w:r>
        <w:t xml:space="preserve">,</w:t>
      </w:r>
      <w:r>
        <w:t xml:space="preserve"> </w:t>
      </w:r>
      <w:r>
        <w:rPr>
          <w:i/>
          <w:iCs/>
        </w:rPr>
        <w:t xml:space="preserve">20</w:t>
      </w:r>
      <w:r>
        <w:t xml:space="preserve">(16), 4211–4226.</w:t>
      </w:r>
      <w:r>
        <w:t xml:space="preserve"> </w:t>
      </w:r>
      <w:hyperlink r:id="rId121">
        <w:r>
          <w:rPr>
            <w:rStyle w:val="Hyperlink"/>
          </w:rPr>
          <w:t xml:space="preserve">https://doi.org/10.1175/JCLI4228.1</w:t>
        </w:r>
      </w:hyperlink>
    </w:p>
    <w:bookmarkEnd w:id="122"/>
    <w:bookmarkEnd w:id="123"/>
    <w:bookmarkEnd w:id="1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W w:type="pct" w:w="5000"/>
      <w:tblInd w:type="dxa" w:w="0"/>
      <w:tblCellMar>
        <w:top w:type="dxa" w:w="0"/>
        <w:left w:type="dxa" w:w="72"/>
        <w:bottom w:type="dxa" w:w="0"/>
        <w:right w:type="dxa" w:w="72"/>
      </w:tblCellMar>
    </w:tblPr>
    <w:rPr>
      <w:rFonts w:ascii="Arial Narrow" w:hAnsi="Arial Narrow"/>
      <w:sz w:val="18"/>
      <w:szCs w:val="18"/>
    </w:r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image" Id="rId57" Target="media/rId57.png" /><Relationship Type="http://schemas.openxmlformats.org/officeDocument/2006/relationships/image" Id="rId35" Target="media/rId35.png" /><Relationship Type="http://schemas.openxmlformats.org/officeDocument/2006/relationships/image" Id="rId64" Target="media/rId64.png" /><Relationship Type="http://schemas.openxmlformats.org/officeDocument/2006/relationships/image" Id="rId42" Target="media/rId42.png" /><Relationship Type="http://schemas.openxmlformats.org/officeDocument/2006/relationships/image" Id="rId52" Target="media/rId52.png" /><Relationship Type="http://schemas.openxmlformats.org/officeDocument/2006/relationships/image" Id="rId47" Target="media/rId47.png" /><Relationship Type="http://schemas.openxmlformats.org/officeDocument/2006/relationships/hyperlink" Id="rId89" Target="https://arr.news/2026/05/25/murray-darling-water-allocations-where-things-stand-heading-into-winter-2026/" TargetMode="External" /><Relationship Type="http://schemas.openxmlformats.org/officeDocument/2006/relationships/hyperlink" Id="rId119" Target="https://doi.org/10.1175/2008JCLI2589.1" TargetMode="External" /><Relationship Type="http://schemas.openxmlformats.org/officeDocument/2006/relationships/hyperlink" Id="rId121" Target="https://doi.org/10.1175/JCLI4228.1" TargetMode="External" /><Relationship Type="http://schemas.openxmlformats.org/officeDocument/2006/relationships/hyperlink" Id="rId107" Target="https://grattan.edu.au/wp-content/uploads/2020/04/Grattan-Institute-submission-to-Royal-Commission.pdf" TargetMode="External" /><Relationship Type="http://schemas.openxmlformats.org/officeDocument/2006/relationships/hyperlink" Id="rId105" Target="https://psl.noaa.gov/data/gridded/data.gpcc.html" TargetMode="External" /><Relationship Type="http://schemas.openxmlformats.org/officeDocument/2006/relationships/hyperlink" Id="rId117" Target="https://psl.noaa.gov/gcos_wgsp/Timeseries/DMI/" TargetMode="External" /><Relationship Type="http://schemas.openxmlformats.org/officeDocument/2006/relationships/hyperlink" Id="rId93" Target="https://thredds.nci.org.au/thredds/catalog/zv2/agcd/v1/catalog.html" TargetMode="External" /><Relationship Type="http://schemas.openxmlformats.org/officeDocument/2006/relationships/hyperlink" Id="rId91" Target="https://treasury.gov.au/publication/economic-roundup-autumn-2004/the-impact-of-the-2002-drought-on-the-economy-and-agricultural-employment" TargetMode="External" /><Relationship Type="http://schemas.openxmlformats.org/officeDocument/2006/relationships/hyperlink" Id="rId85" Target="https://www.afac.com.au/public-resources/seasonal-bushfire-outlook-winter-2026" TargetMode="External" /><Relationship Type="http://schemas.openxmlformats.org/officeDocument/2006/relationships/hyperlink" Id="rId83" Target="https://www.agriculture.gov.au/abares/research-topics/agricultural-outlook/australian-crop-report/june-2026" TargetMode="External" /><Relationship Type="http://schemas.openxmlformats.org/officeDocument/2006/relationships/hyperlink" Id="rId87" Target="https://www.aims.gov.au/research-topics/environmental-issues/coral-bleaching/coral-bleaching-events" TargetMode="External" /><Relationship Type="http://schemas.openxmlformats.org/officeDocument/2006/relationships/hyperlink" Id="rId97" Target="https://www.bom.gov.au/climate/ahead/outlooks/" TargetMode="External" /><Relationship Type="http://schemas.openxmlformats.org/officeDocument/2006/relationships/hyperlink" Id="rId95" Target="https://www.bom.gov.au/climate/change/" TargetMode="External" /><Relationship Type="http://schemas.openxmlformats.org/officeDocument/2006/relationships/hyperlink" Id="rId101" Target="https://www.bom.gov.au/climate/enso/" TargetMode="External" /><Relationship Type="http://schemas.openxmlformats.org/officeDocument/2006/relationships/hyperlink" Id="rId99" Target="https://www.bom.gov.au/climate/sam/" TargetMode="External" /><Relationship Type="http://schemas.openxmlformats.org/officeDocument/2006/relationships/hyperlink" Id="rId103" Target="https://www.bom.gov.au/climate/updates/articles/a008-el-nino-and-australia.shtml" TargetMode="External" /><Relationship Type="http://schemas.openxmlformats.org/officeDocument/2006/relationships/hyperlink" Id="rId113" Target="https://www.cpc.ncep.noaa.gov/data/indices/oni.ascii.txt" TargetMode="External" /><Relationship Type="http://schemas.openxmlformats.org/officeDocument/2006/relationships/hyperlink" Id="rId115" Target="https://www.cpc.ncep.noaa.gov/data/indices/wksst9120.for" TargetMode="External" /><Relationship Type="http://schemas.openxmlformats.org/officeDocument/2006/relationships/hyperlink" Id="rId109" Target="https://www.cpc.ncep.noaa.gov/products/analysis_monitoring/enso_advisory/ensodisc.shtml" TargetMode="External" /><Relationship Type="http://schemas.openxmlformats.org/officeDocument/2006/relationships/hyperlink" Id="rId111" Target="https://www.cpc.ncep.noaa.gov/products/precip/CWlink/daily_ao_index/aao/monthly.aao.index.b79.current.asci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9" Target="https://arr.news/2026/05/25/murray-darling-water-allocations-where-things-stand-heading-into-winter-2026/" TargetMode="External" /><Relationship Type="http://schemas.openxmlformats.org/officeDocument/2006/relationships/hyperlink" Id="rId119" Target="https://doi.org/10.1175/2008JCLI2589.1" TargetMode="External" /><Relationship Type="http://schemas.openxmlformats.org/officeDocument/2006/relationships/hyperlink" Id="rId121" Target="https://doi.org/10.1175/JCLI4228.1" TargetMode="External" /><Relationship Type="http://schemas.openxmlformats.org/officeDocument/2006/relationships/hyperlink" Id="rId107" Target="https://grattan.edu.au/wp-content/uploads/2020/04/Grattan-Institute-submission-to-Royal-Commission.pdf" TargetMode="External" /><Relationship Type="http://schemas.openxmlformats.org/officeDocument/2006/relationships/hyperlink" Id="rId105" Target="https://psl.noaa.gov/data/gridded/data.gpcc.html" TargetMode="External" /><Relationship Type="http://schemas.openxmlformats.org/officeDocument/2006/relationships/hyperlink" Id="rId117" Target="https://psl.noaa.gov/gcos_wgsp/Timeseries/DMI/" TargetMode="External" /><Relationship Type="http://schemas.openxmlformats.org/officeDocument/2006/relationships/hyperlink" Id="rId93" Target="https://thredds.nci.org.au/thredds/catalog/zv2/agcd/v1/catalog.html" TargetMode="External" /><Relationship Type="http://schemas.openxmlformats.org/officeDocument/2006/relationships/hyperlink" Id="rId91" Target="https://treasury.gov.au/publication/economic-roundup-autumn-2004/the-impact-of-the-2002-drought-on-the-economy-and-agricultural-employment" TargetMode="External" /><Relationship Type="http://schemas.openxmlformats.org/officeDocument/2006/relationships/hyperlink" Id="rId85" Target="https://www.afac.com.au/public-resources/seasonal-bushfire-outlook-winter-2026" TargetMode="External" /><Relationship Type="http://schemas.openxmlformats.org/officeDocument/2006/relationships/hyperlink" Id="rId83" Target="https://www.agriculture.gov.au/abares/research-topics/agricultural-outlook/australian-crop-report/june-2026" TargetMode="External" /><Relationship Type="http://schemas.openxmlformats.org/officeDocument/2006/relationships/hyperlink" Id="rId87" Target="https://www.aims.gov.au/research-topics/environmental-issues/coral-bleaching/coral-bleaching-events" TargetMode="External" /><Relationship Type="http://schemas.openxmlformats.org/officeDocument/2006/relationships/hyperlink" Id="rId97" Target="https://www.bom.gov.au/climate/ahead/outlooks/" TargetMode="External" /><Relationship Type="http://schemas.openxmlformats.org/officeDocument/2006/relationships/hyperlink" Id="rId95" Target="https://www.bom.gov.au/climate/change/" TargetMode="External" /><Relationship Type="http://schemas.openxmlformats.org/officeDocument/2006/relationships/hyperlink" Id="rId101" Target="https://www.bom.gov.au/climate/enso/" TargetMode="External" /><Relationship Type="http://schemas.openxmlformats.org/officeDocument/2006/relationships/hyperlink" Id="rId99" Target="https://www.bom.gov.au/climate/sam/" TargetMode="External" /><Relationship Type="http://schemas.openxmlformats.org/officeDocument/2006/relationships/hyperlink" Id="rId103" Target="https://www.bom.gov.au/climate/updates/articles/a008-el-nino-and-australia.shtml" TargetMode="External" /><Relationship Type="http://schemas.openxmlformats.org/officeDocument/2006/relationships/hyperlink" Id="rId113" Target="https://www.cpc.ncep.noaa.gov/data/indices/oni.ascii.txt" TargetMode="External" /><Relationship Type="http://schemas.openxmlformats.org/officeDocument/2006/relationships/hyperlink" Id="rId115" Target="https://www.cpc.ncep.noaa.gov/data/indices/wksst9120.for" TargetMode="External" /><Relationship Type="http://schemas.openxmlformats.org/officeDocument/2006/relationships/hyperlink" Id="rId109" Target="https://www.cpc.ncep.noaa.gov/products/analysis_monitoring/enso_advisory/ensodisc.shtml" TargetMode="External" /><Relationship Type="http://schemas.openxmlformats.org/officeDocument/2006/relationships/hyperlink" Id="rId111" Target="https://www.cpc.ncep.noaa.gov/products/precip/CWlink/daily_ao_index/aao/monthly.aao.index.b79.current.asci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Niño 2026: what the evidence says, and what it means for Australia</dc:title>
  <dc:creator>ITK - Claude assisted research</dc:creator>
  <cp:keywords/>
  <dcterms:created xsi:type="dcterms:W3CDTF">2026-08-06T00:22:35Z</dcterms:created>
  <dcterms:modified xsi:type="dcterms:W3CDTF">2026-08-06T00:22:35Z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>el_nino_references.bib</vt:lpwstr>
  </property>
  <property fmtid="{D5CDD505-2E9C-101B-9397-08002B2CF9AE}" pid="5" name="by-author">
    <vt:lpwstr/>
  </property>
  <property fmtid="{D5CDD505-2E9C-101B-9397-08002B2CF9AE}" pid="6" name="categories">
    <vt:lpwstr/>
  </property>
  <property fmtid="{D5CDD505-2E9C-101B-9397-08002B2CF9AE}" pid="7" name="csl">
    <vt:lpwstr>../apa.csl</vt:lpwstr>
  </property>
  <property fmtid="{D5CDD505-2E9C-101B-9397-08002B2CF9AE}" pid="8" name="date">
    <vt:lpwstr>2026-08-03</vt:lpwstr>
  </property>
  <property fmtid="{D5CDD505-2E9C-101B-9397-08002B2CF9AE}" pid="9" name="draft">
    <vt:lpwstr>False</vt:lpwstr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lightbox">
    <vt:lpwstr>True</vt:lpwstr>
  </property>
  <property fmtid="{D5CDD505-2E9C-101B-9397-08002B2CF9AE}" pid="15" name="tbl-cap-location">
    <vt:lpwstr>bottom</vt:lpwstr>
  </property>
  <property fmtid="{D5CDD505-2E9C-101B-9397-08002B2CF9AE}" pid="16" name="toc-title">
    <vt:lpwstr>Table of contents</vt:lpwstr>
  </property>
</Properties>
</file>