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claim-ledger-el_nino.md"/>
    <w:p>
      <w:pPr>
        <w:pStyle w:val="Heading1"/>
      </w:pPr>
      <w:r>
        <w:t xml:space="preserve">Claim ledger — el_nino.md</w:t>
      </w:r>
    </w:p>
    <w:p>
      <w:pPr>
        <w:pStyle w:val="FirstParagraph"/>
      </w:pPr>
      <w:r>
        <w:t xml:space="preserve">Effort tier:</w:t>
      </w:r>
      <w:r>
        <w:t xml:space="preserve"> </w:t>
      </w:r>
      <w:r>
        <w:rPr>
          <w:b/>
          <w:bCs/>
        </w:rPr>
        <w:t xml:space="preserve">T2 (briefing)</w:t>
      </w:r>
      <w:r>
        <w:t xml:space="preserve">. Ledger built during research; verbatim snippets</w:t>
      </w:r>
      <w:r>
        <w:t xml:space="preserve"> </w:t>
      </w:r>
      <w:r>
        <w:t xml:space="preserve">captured at the point of reading. Class A = load-bearing (headline, table, chart</w:t>
      </w:r>
      <w:r>
        <w:t xml:space="preserve"> </w:t>
      </w:r>
      <w:r>
        <w:t xml:space="preserve">or conclusion). Class B = supporting context. Class C = common knowledge.</w:t>
      </w:r>
    </w:p>
    <w:p>
      <w:pPr>
        <w:pStyle w:val="BodyText"/>
      </w:pPr>
      <w:r>
        <w:t xml:space="preserve">Derived rows (D-prefixed) show inputs, operation and result rather than a source</w:t>
      </w:r>
      <w:r>
        <w:t xml:space="preserve"> </w:t>
      </w:r>
      <w:r>
        <w:t xml:space="preserve">snippet, per the research standard for numbers computed rather than quoted.</w:t>
      </w:r>
    </w:p>
    <w:p>
      <w:r>
        <w:pict>
          <v:rect style="width:0;height:1.5pt" o:hralign="center" o:hrstd="t" o:hr="t"/>
        </w:pict>
      </w:r>
    </w:p>
    <w:bookmarkStart w:id="20" w:name="sourced-claims"/>
    <w:p>
      <w:pPr>
        <w:pStyle w:val="Heading2"/>
      </w:pPr>
      <w:r>
        <w:t xml:space="preserve">Sourced claims</w:t>
      </w:r>
    </w:p>
    <w:tbl>
      <w:tblPr>
        <w:tblStyle w:val="Table"/>
        <w:tblW w:type="pct" w:w="5000"/>
        <w:tblLayout w:type="fixed"/>
        <w:tblLook w:firstRow="1" w:lastRow="0" w:firstColumn="0" w:lastColumn="0" w:noHBand="0" w:noVBand="0" w:val="0020"/>
      </w:tblPr>
      <w:tblGrid>
        <w:gridCol w:w="1267"/>
        <w:gridCol w:w="950"/>
        <w:gridCol w:w="950"/>
        <w:gridCol w:w="950"/>
        <w:gridCol w:w="950"/>
        <w:gridCol w:w="950"/>
        <w:gridCol w:w="950"/>
        <w:gridCol w:w="950"/>
      </w:tblGrid>
      <w:tr>
        <w:trPr>
          <w:tblHeader w:val="on"/>
        </w:trPr>
        <w:tc>
          <w:tcPr/>
          <w:p>
            <w:pPr>
              <w:pStyle w:val="Compact"/>
              <w:jc w:val="left"/>
            </w:pPr>
            <w:r>
              <w:t xml:space="preserve">ID</w:t>
            </w:r>
          </w:p>
        </w:tc>
        <w:tc>
          <w:tcPr/>
          <w:p>
            <w:pPr>
              <w:pStyle w:val="Compact"/>
              <w:jc w:val="left"/>
            </w:pPr>
            <w:r>
              <w:t xml:space="preserve">Claim as it appears in the draft</w:t>
            </w:r>
          </w:p>
        </w:tc>
        <w:tc>
          <w:tcPr/>
          <w:p>
            <w:pPr>
              <w:pStyle w:val="Compact"/>
              <w:jc w:val="left"/>
            </w:pPr>
            <w:r>
              <w:t xml:space="preserve">Verbatim source snippet</w:t>
            </w:r>
          </w:p>
        </w:tc>
        <w:tc>
          <w:tcPr/>
          <w:p>
            <w:pPr>
              <w:pStyle w:val="Compact"/>
              <w:jc w:val="left"/>
            </w:pPr>
            <w:r>
              <w:t xml:space="preserve">Source</w:t>
            </w:r>
          </w:p>
        </w:tc>
        <w:tc>
          <w:tcPr/>
          <w:p>
            <w:pPr>
              <w:pStyle w:val="Compact"/>
              <w:jc w:val="left"/>
            </w:pPr>
            <w:r>
              <w:t xml:space="preserve">URL</w:t>
            </w:r>
          </w:p>
        </w:tc>
        <w:tc>
          <w:tcPr/>
          <w:p>
            <w:pPr>
              <w:pStyle w:val="Compact"/>
              <w:jc w:val="left"/>
            </w:pPr>
            <w:r>
              <w:t xml:space="preserve">Accessed</w:t>
            </w:r>
          </w:p>
        </w:tc>
        <w:tc>
          <w:tcPr/>
          <w:p>
            <w:pPr>
              <w:pStyle w:val="Compact"/>
              <w:jc w:val="left"/>
            </w:pPr>
            <w:r>
              <w:t xml:space="preserve">Tier</w:t>
            </w:r>
          </w:p>
        </w:tc>
        <w:tc>
          <w:tcPr/>
          <w:p>
            <w:pPr>
              <w:pStyle w:val="Compact"/>
              <w:jc w:val="left"/>
            </w:pPr>
            <w:r>
              <w:t xml:space="preserve">Class</w:t>
            </w:r>
          </w:p>
        </w:tc>
      </w:tr>
      <w:tr>
        <w:tc>
          <w:tcPr/>
          <w:p>
            <w:pPr>
              <w:pStyle w:val="Compact"/>
              <w:jc w:val="left"/>
            </w:pPr>
            <w:r>
              <w:t xml:space="preserve">C1</w:t>
            </w:r>
          </w:p>
        </w:tc>
        <w:tc>
          <w:tcPr/>
          <w:p>
            <w:pPr>
              <w:pStyle w:val="Compact"/>
              <w:jc w:val="left"/>
            </w:pPr>
            <w:r>
              <w:t xml:space="preserve">CPC has carried an El Niño Advisory since 9 July 2026</w:t>
            </w:r>
          </w:p>
        </w:tc>
        <w:tc>
          <w:tcPr/>
          <w:p>
            <w:pPr>
              <w:pStyle w:val="Compact"/>
              <w:jc w:val="left"/>
            </w:pPr>
            <w:r>
              <w:t xml:space="preserve">“ENSO Alert System Status: El Niño Advisory”</w:t>
            </w:r>
            <w:r>
              <w:t xml:space="preserve"> </w:t>
            </w:r>
            <w:r>
              <w:t xml:space="preserve">(header, issued 9 July 2026)</w:t>
            </w:r>
          </w:p>
        </w:tc>
        <w:tc>
          <w:tcPr/>
          <w:p>
            <w:pPr>
              <w:pStyle w:val="Compact"/>
              <w:jc w:val="left"/>
            </w:pPr>
            <w:r>
              <w:t xml:space="preserve">NOAA CPC ENSO Diagnostic Discussion</w:t>
            </w:r>
          </w:p>
        </w:tc>
        <w:tc>
          <w:tcPr/>
          <w:p>
            <w:pPr>
              <w:pStyle w:val="Compact"/>
              <w:jc w:val="left"/>
            </w:pPr>
            <w:r>
              <w:t xml:space="preserve">https://www.cpc.ncep.noaa.gov/products/analysis_monitoring/enso_advisory/ensodisc.pdf</w:t>
            </w:r>
          </w:p>
        </w:tc>
        <w:tc>
          <w:tcPr/>
          <w:p>
            <w:pPr>
              <w:pStyle w:val="Compact"/>
              <w:jc w:val="left"/>
            </w:pPr>
            <w:r>
              <w:t xml:space="preserve">2026-08-01</w:t>
            </w:r>
          </w:p>
        </w:tc>
        <w:tc>
          <w:tcPr/>
          <w:p>
            <w:pPr>
              <w:pStyle w:val="Compact"/>
              <w:jc w:val="left"/>
            </w:pPr>
            <w:r>
              <w:t xml:space="preserve">1</w:t>
            </w:r>
          </w:p>
        </w:tc>
        <w:tc>
          <w:tcPr/>
          <w:p>
            <w:pPr>
              <w:pStyle w:val="Compact"/>
              <w:jc w:val="left"/>
            </w:pPr>
            <w:r>
              <w:t xml:space="preserve">A</w:t>
            </w:r>
          </w:p>
        </w:tc>
      </w:tr>
      <w:tr>
        <w:tc>
          <w:tcPr/>
          <w:p>
            <w:pPr>
              <w:pStyle w:val="Compact"/>
              <w:jc w:val="left"/>
            </w:pPr>
            <w:r>
              <w:t xml:space="preserve">C2</w:t>
            </w:r>
          </w:p>
        </w:tc>
        <w:tc>
          <w:tcPr/>
          <w:p>
            <w:pPr>
              <w:pStyle w:val="Compact"/>
              <w:jc w:val="left"/>
            </w:pPr>
            <w:r>
              <w:t xml:space="preserve">97% chance the event persists through early spring 2027</w:t>
            </w:r>
          </w:p>
        </w:tc>
        <w:tc>
          <w:tcPr/>
          <w:p>
            <w:pPr>
              <w:pStyle w:val="Compact"/>
              <w:jc w:val="left"/>
            </w:pPr>
            <w:r>
              <w:t xml:space="preserve">“El Niño continues and will strengthen through the end of the year, with a 97% chance it will persist through early spring 2027.”</w:t>
            </w:r>
          </w:p>
        </w:tc>
        <w:tc>
          <w:tcPr/>
          <w:p>
            <w:pPr>
              <w:pStyle w:val="Compact"/>
              <w:jc w:val="left"/>
            </w:pPr>
            <w:r>
              <w:t xml:space="preserve">NOAA CPC ENSO Diagnostic Discussion, 9 Jul 2026</w:t>
            </w:r>
          </w:p>
        </w:tc>
        <w:tc>
          <w:tcPr/>
          <w:p>
            <w:pPr>
              <w:pStyle w:val="Compact"/>
              <w:jc w:val="left"/>
            </w:pPr>
            <w:r>
              <w:t xml:space="preserve">as C1</w:t>
            </w:r>
          </w:p>
        </w:tc>
        <w:tc>
          <w:tcPr/>
          <w:p>
            <w:pPr>
              <w:pStyle w:val="Compact"/>
              <w:jc w:val="left"/>
            </w:pPr>
            <w:r>
              <w:t xml:space="preserve">2026-08-01</w:t>
            </w:r>
          </w:p>
        </w:tc>
        <w:tc>
          <w:tcPr/>
          <w:p>
            <w:pPr>
              <w:pStyle w:val="Compact"/>
              <w:jc w:val="left"/>
            </w:pPr>
            <w:r>
              <w:t xml:space="preserve">1</w:t>
            </w:r>
          </w:p>
        </w:tc>
        <w:tc>
          <w:tcPr/>
          <w:p>
            <w:pPr>
              <w:pStyle w:val="Compact"/>
              <w:jc w:val="left"/>
            </w:pPr>
            <w:r>
              <w:t xml:space="preserve">A</w:t>
            </w:r>
          </w:p>
        </w:tc>
      </w:tr>
      <w:tr>
        <w:tc>
          <w:tcPr/>
          <w:p>
            <w:pPr>
              <w:pStyle w:val="Compact"/>
              <w:jc w:val="left"/>
            </w:pPr>
            <w:r>
              <w:t xml:space="preserve">C3</w:t>
            </w:r>
          </w:p>
        </w:tc>
        <w:tc>
          <w:tcPr/>
          <w:p>
            <w:pPr>
              <w:pStyle w:val="Compact"/>
              <w:jc w:val="left"/>
            </w:pPr>
            <w:r>
              <w:t xml:space="preserve">81% chance of a very strong El Niño in Oct–Dec, ranking among the largest since 1950</w:t>
            </w:r>
          </w:p>
        </w:tc>
        <w:tc>
          <w:tcPr/>
          <w:p>
            <w:pPr>
              <w:pStyle w:val="Compact"/>
              <w:jc w:val="left"/>
            </w:pPr>
            <w:r>
              <w:t xml:space="preserve">“There is an 81% chance of a very strong El Niño during October-December (Fig. 8) that would rank among the largest El Niño events in the historical record going back to 1950.”</w:t>
            </w:r>
          </w:p>
        </w:tc>
        <w:tc>
          <w:tcPr/>
          <w:p>
            <w:pPr>
              <w:pStyle w:val="Compact"/>
              <w:jc w:val="left"/>
            </w:pPr>
            <w:r>
              <w:t xml:space="preserve">NOAA CPC ENSO Diagnostic Discussion, 9 Jul 2026</w:t>
            </w:r>
          </w:p>
        </w:tc>
        <w:tc>
          <w:tcPr/>
          <w:p>
            <w:pPr>
              <w:pStyle w:val="Compact"/>
              <w:jc w:val="left"/>
            </w:pPr>
            <w:r>
              <w:t xml:space="preserve">as C1</w:t>
            </w:r>
          </w:p>
        </w:tc>
        <w:tc>
          <w:tcPr/>
          <w:p>
            <w:pPr>
              <w:pStyle w:val="Compact"/>
              <w:jc w:val="left"/>
            </w:pPr>
            <w:r>
              <w:t xml:space="preserve">2026-08-01</w:t>
            </w:r>
          </w:p>
        </w:tc>
        <w:tc>
          <w:tcPr/>
          <w:p>
            <w:pPr>
              <w:pStyle w:val="Compact"/>
              <w:jc w:val="left"/>
            </w:pPr>
            <w:r>
              <w:t xml:space="preserve">1</w:t>
            </w:r>
          </w:p>
        </w:tc>
        <w:tc>
          <w:tcPr/>
          <w:p>
            <w:pPr>
              <w:pStyle w:val="Compact"/>
              <w:jc w:val="left"/>
            </w:pPr>
            <w:r>
              <w:t xml:space="preserve">A</w:t>
            </w:r>
          </w:p>
        </w:tc>
      </w:tr>
      <w:tr>
        <w:tc>
          <w:tcPr/>
          <w:p>
            <w:pPr>
              <w:pStyle w:val="Compact"/>
              <w:jc w:val="left"/>
            </w:pPr>
            <w:r>
              <w:t xml:space="preserve">C4</w:t>
            </w:r>
          </w:p>
        </w:tc>
        <w:tc>
          <w:tcPr/>
          <w:p>
            <w:pPr>
              <w:pStyle w:val="Compact"/>
              <w:jc w:val="left"/>
            </w:pPr>
            <w:r>
              <w:t xml:space="preserve">CPC quotes relative Niño 3.4 +1.2 °C, Niño-4 +0.5 °C, Niño-1+2 +2.7 °C</w:t>
            </w:r>
          </w:p>
        </w:tc>
        <w:tc>
          <w:tcPr/>
          <w:p>
            <w:pPr>
              <w:pStyle w:val="Compact"/>
              <w:jc w:val="left"/>
            </w:pPr>
            <w:r>
              <w:t xml:space="preserve">“The latest weekly Niño-3.4 index value was +1.2°C, with the westernmost (Niño-4) and easternmost (Niño-1+2) indices at +0.5°C and +2.7°C, respectively (Fig. 2).”</w:t>
            </w:r>
          </w:p>
        </w:tc>
        <w:tc>
          <w:tcPr/>
          <w:p>
            <w:pPr>
              <w:pStyle w:val="Compact"/>
              <w:jc w:val="left"/>
            </w:pPr>
            <w:r>
              <w:t xml:space="preserve">NOAA CPC ENSO Diagnostic Discussion, 9 Jul 2026</w:t>
            </w:r>
          </w:p>
        </w:tc>
        <w:tc>
          <w:tcPr/>
          <w:p>
            <w:pPr>
              <w:pStyle w:val="Compact"/>
              <w:jc w:val="left"/>
            </w:pPr>
            <w:r>
              <w:t xml:space="preserve">as C1</w:t>
            </w:r>
          </w:p>
        </w:tc>
        <w:tc>
          <w:tcPr/>
          <w:p>
            <w:pPr>
              <w:pStyle w:val="Compact"/>
              <w:jc w:val="left"/>
            </w:pPr>
            <w:r>
              <w:t xml:space="preserve">2026-08-01</w:t>
            </w:r>
          </w:p>
        </w:tc>
        <w:tc>
          <w:tcPr/>
          <w:p>
            <w:pPr>
              <w:pStyle w:val="Compact"/>
              <w:jc w:val="left"/>
            </w:pPr>
            <w:r>
              <w:t xml:space="preserve">1</w:t>
            </w:r>
          </w:p>
        </w:tc>
        <w:tc>
          <w:tcPr/>
          <w:p>
            <w:pPr>
              <w:pStyle w:val="Compact"/>
              <w:jc w:val="left"/>
            </w:pPr>
            <w:r>
              <w:t xml:space="preserve">A</w:t>
            </w:r>
          </w:p>
        </w:tc>
      </w:tr>
      <w:tr>
        <w:tc>
          <w:tcPr/>
          <w:p>
            <w:pPr>
              <w:pStyle w:val="Compact"/>
              <w:jc w:val="left"/>
            </w:pPr>
            <w:r>
              <w:t xml:space="preserve">C5</w:t>
            </w:r>
          </w:p>
        </w:tc>
        <w:tc>
          <w:tcPr/>
          <w:p>
            <w:pPr>
              <w:pStyle w:val="Compact"/>
              <w:jc w:val="left"/>
            </w:pPr>
            <w:r>
              <w:t xml:space="preserve">These are</w:t>
            </w:r>
            <w:r>
              <w:t xml:space="preserve"> </w:t>
            </w:r>
            <w:r>
              <w:rPr>
                <w:i/>
                <w:iCs/>
              </w:rPr>
              <w:t xml:space="preserve">relative</w:t>
            </w:r>
            <w:r>
              <w:t xml:space="preserve"> </w:t>
            </w:r>
            <w:r>
              <w:t xml:space="preserve">indices (tropical mean removed)</w:t>
            </w:r>
          </w:p>
        </w:tc>
        <w:tc>
          <w:tcPr/>
          <w:p>
            <w:pPr>
              <w:pStyle w:val="Compact"/>
              <w:jc w:val="left"/>
            </w:pPr>
            <w:r>
              <w:t xml:space="preserve">“Time series of area-averaged relative sea surface temperature (SST) anomalies (°C) in the Niño regions … minus tropical mean (20°N-20°S). The relative indices are re-scaled to match the variance of traditional indices.”</w:t>
            </w:r>
          </w:p>
        </w:tc>
        <w:tc>
          <w:tcPr/>
          <w:p>
            <w:pPr>
              <w:pStyle w:val="Compact"/>
              <w:jc w:val="left"/>
            </w:pPr>
            <w:r>
              <w:t xml:space="preserve">NOAA CPC ENSO Diagnostic Discussion, Fig. 2 caption</w:t>
            </w:r>
          </w:p>
        </w:tc>
        <w:tc>
          <w:tcPr/>
          <w:p>
            <w:pPr>
              <w:pStyle w:val="Compact"/>
              <w:jc w:val="left"/>
            </w:pPr>
            <w:r>
              <w:t xml:space="preserve">as C1</w:t>
            </w:r>
          </w:p>
        </w:tc>
        <w:tc>
          <w:tcPr/>
          <w:p>
            <w:pPr>
              <w:pStyle w:val="Compact"/>
              <w:jc w:val="left"/>
            </w:pPr>
            <w:r>
              <w:t xml:space="preserve">2026-08-01</w:t>
            </w:r>
          </w:p>
        </w:tc>
        <w:tc>
          <w:tcPr/>
          <w:p>
            <w:pPr>
              <w:pStyle w:val="Compact"/>
              <w:jc w:val="left"/>
            </w:pPr>
            <w:r>
              <w:t xml:space="preserve">1</w:t>
            </w:r>
          </w:p>
        </w:tc>
        <w:tc>
          <w:tcPr/>
          <w:p>
            <w:pPr>
              <w:pStyle w:val="Compact"/>
              <w:jc w:val="left"/>
            </w:pPr>
            <w:r>
              <w:t xml:space="preserve">A</w:t>
            </w:r>
          </w:p>
        </w:tc>
      </w:tr>
      <w:tr>
        <w:tc>
          <w:tcPr/>
          <w:p>
            <w:pPr>
              <w:pStyle w:val="Compact"/>
              <w:jc w:val="left"/>
            </w:pPr>
            <w:r>
              <w:t xml:space="preserve">C6</w:t>
            </w:r>
          </w:p>
        </w:tc>
        <w:tc>
          <w:tcPr/>
          <w:p>
            <w:pPr>
              <w:pStyle w:val="Compact"/>
              <w:jc w:val="left"/>
            </w:pPr>
            <w:r>
              <w:t xml:space="preserve">Conventional weekly Niño indices, week centred 22 Jul 2026: 1+2 +3.8, 3 +2.5, 3.4 +2.2, 4 +1.0</w:t>
            </w:r>
          </w:p>
        </w:tc>
        <w:tc>
          <w:tcPr/>
          <w:p>
            <w:pPr>
              <w:pStyle w:val="Compact"/>
              <w:jc w:val="left"/>
            </w:pPr>
            <w:r>
              <w:rPr>
                <w:rStyle w:val="VerbatimChar"/>
              </w:rPr>
              <w:t xml:space="preserve">22JUL2026     25.4 3.8     28.1 2.5     29.3 2.2     29.8 1.0</w:t>
            </w:r>
          </w:p>
        </w:tc>
        <w:tc>
          <w:tcPr/>
          <w:p>
            <w:pPr>
              <w:pStyle w:val="Compact"/>
              <w:jc w:val="left"/>
            </w:pPr>
            <w:r>
              <w:t xml:space="preserve">NOAA CPC weekly SST data file (wksst9120.for)</w:t>
            </w:r>
          </w:p>
        </w:tc>
        <w:tc>
          <w:tcPr/>
          <w:p>
            <w:pPr>
              <w:pStyle w:val="Compact"/>
              <w:jc w:val="left"/>
            </w:pPr>
            <w:r>
              <w:t xml:space="preserve">https://www.cpc.ncep.noaa.gov/data/indices/wksst9120.for</w:t>
            </w:r>
          </w:p>
        </w:tc>
        <w:tc>
          <w:tcPr/>
          <w:p>
            <w:pPr>
              <w:pStyle w:val="Compact"/>
              <w:jc w:val="left"/>
            </w:pPr>
            <w:r>
              <w:t xml:space="preserve">2026-08-01</w:t>
            </w:r>
          </w:p>
        </w:tc>
        <w:tc>
          <w:tcPr/>
          <w:p>
            <w:pPr>
              <w:pStyle w:val="Compact"/>
              <w:jc w:val="left"/>
            </w:pPr>
            <w:r>
              <w:t xml:space="preserve">1</w:t>
            </w:r>
          </w:p>
        </w:tc>
        <w:tc>
          <w:tcPr/>
          <w:p>
            <w:pPr>
              <w:pStyle w:val="Compact"/>
              <w:jc w:val="left"/>
            </w:pPr>
            <w:r>
              <w:t xml:space="preserve">A</w:t>
            </w:r>
          </w:p>
        </w:tc>
      </w:tr>
      <w:tr>
        <w:tc>
          <w:tcPr/>
          <w:p>
            <w:pPr>
              <w:pStyle w:val="Compact"/>
              <w:jc w:val="left"/>
            </w:pPr>
            <w:r>
              <w:t xml:space="preserve">C7</w:t>
            </w:r>
          </w:p>
        </w:tc>
        <w:tc>
          <w:tcPr/>
          <w:p>
            <w:pPr>
              <w:pStyle w:val="Compact"/>
              <w:jc w:val="left"/>
            </w:pPr>
            <w:r>
              <w:t xml:space="preserve">Coupling supports high confidence in persistence</w:t>
            </w:r>
          </w:p>
        </w:tc>
        <w:tc>
          <w:tcPr/>
          <w:p>
            <w:pPr>
              <w:pStyle w:val="Compact"/>
              <w:jc w:val="left"/>
            </w:pPr>
            <w:r>
              <w:t xml:space="preserve">“a strong coupling of the atmospheric and oceanic circulation across the Pacific contributes to very high confidence that El Niño will continue through early 2027”</w:t>
            </w:r>
          </w:p>
        </w:tc>
        <w:tc>
          <w:tcPr/>
          <w:p>
            <w:pPr>
              <w:pStyle w:val="Compact"/>
              <w:jc w:val="left"/>
            </w:pPr>
            <w:r>
              <w:t xml:space="preserve">NOAA CPC ENSO Diagnostic Discussion, 9 Jul 2026</w:t>
            </w:r>
          </w:p>
        </w:tc>
        <w:tc>
          <w:tcPr/>
          <w:p>
            <w:pPr>
              <w:pStyle w:val="Compact"/>
              <w:jc w:val="left"/>
            </w:pPr>
            <w:r>
              <w:t xml:space="preserve">as C1</w:t>
            </w:r>
          </w:p>
        </w:tc>
        <w:tc>
          <w:tcPr/>
          <w:p>
            <w:pPr>
              <w:pStyle w:val="Compact"/>
              <w:jc w:val="left"/>
            </w:pPr>
            <w:r>
              <w:t xml:space="preserve">2026-08-01</w:t>
            </w:r>
          </w:p>
        </w:tc>
        <w:tc>
          <w:tcPr/>
          <w:p>
            <w:pPr>
              <w:pStyle w:val="Compact"/>
              <w:jc w:val="left"/>
            </w:pPr>
            <w:r>
              <w:t xml:space="preserve">1</w:t>
            </w:r>
          </w:p>
        </w:tc>
        <w:tc>
          <w:tcPr/>
          <w:p>
            <w:pPr>
              <w:pStyle w:val="Compact"/>
              <w:jc w:val="left"/>
            </w:pPr>
            <w:r>
              <w:t xml:space="preserve">A</w:t>
            </w:r>
          </w:p>
        </w:tc>
      </w:tr>
      <w:tr>
        <w:tc>
          <w:tcPr/>
          <w:p>
            <w:pPr>
              <w:pStyle w:val="Compact"/>
              <w:jc w:val="left"/>
            </w:pPr>
            <w:r>
              <w:t xml:space="preserve">C8</w:t>
            </w:r>
          </w:p>
        </w:tc>
        <w:tc>
          <w:tcPr/>
          <w:p>
            <w:pPr>
              <w:pStyle w:val="Compact"/>
              <w:jc w:val="left"/>
            </w:pPr>
            <w:r>
              <w:t xml:space="preserve">SOI significantly negative; convection displaced east, suppressed over Indonesia</w:t>
            </w:r>
          </w:p>
        </w:tc>
        <w:tc>
          <w:tcPr/>
          <w:p>
            <w:pPr>
              <w:pStyle w:val="Compact"/>
              <w:jc w:val="left"/>
            </w:pPr>
            <w:r>
              <w:t xml:space="preserve">“Convection was enhanced over the central and east-central equatorial Pacific and was suppressed over Indonesia (Fig. 5). The traditional and equatorial Southern Oscillation indices were significantly negative.”</w:t>
            </w:r>
          </w:p>
        </w:tc>
        <w:tc>
          <w:tcPr/>
          <w:p>
            <w:pPr>
              <w:pStyle w:val="Compact"/>
              <w:jc w:val="left"/>
            </w:pPr>
            <w:r>
              <w:t xml:space="preserve">NOAA CPC ENSO Diagnostic Discussion, 9 Jul 2026</w:t>
            </w:r>
          </w:p>
        </w:tc>
        <w:tc>
          <w:tcPr/>
          <w:p>
            <w:pPr>
              <w:pStyle w:val="Compact"/>
              <w:jc w:val="left"/>
            </w:pPr>
            <w:r>
              <w:t xml:space="preserve">as C1</w:t>
            </w:r>
          </w:p>
        </w:tc>
        <w:tc>
          <w:tcPr/>
          <w:p>
            <w:pPr>
              <w:pStyle w:val="Compact"/>
              <w:jc w:val="left"/>
            </w:pPr>
            <w:r>
              <w:t xml:space="preserve">2026-08-01</w:t>
            </w:r>
          </w:p>
        </w:tc>
        <w:tc>
          <w:tcPr/>
          <w:p>
            <w:pPr>
              <w:pStyle w:val="Compact"/>
              <w:jc w:val="left"/>
            </w:pPr>
            <w:r>
              <w:t xml:space="preserve">1</w:t>
            </w:r>
          </w:p>
        </w:tc>
        <w:tc>
          <w:tcPr/>
          <w:p>
            <w:pPr>
              <w:pStyle w:val="Compact"/>
              <w:jc w:val="left"/>
            </w:pPr>
            <w:r>
              <w:t xml:space="preserve">A</w:t>
            </w:r>
          </w:p>
        </w:tc>
      </w:tr>
      <w:tr>
        <w:tc>
          <w:tcPr/>
          <w:p>
            <w:pPr>
              <w:pStyle w:val="Compact"/>
              <w:jc w:val="left"/>
            </w:pPr>
            <w:r>
              <w:t xml:space="preserve">C9</w:t>
            </w:r>
          </w:p>
        </w:tc>
        <w:tc>
          <w:tcPr/>
          <w:p>
            <w:pPr>
              <w:pStyle w:val="Compact"/>
              <w:jc w:val="left"/>
            </w:pPr>
            <w:r>
              <w:t xml:space="preserve">Next CPC discussion 13 August 2026</w:t>
            </w:r>
          </w:p>
        </w:tc>
        <w:tc>
          <w:tcPr/>
          <w:p>
            <w:pPr>
              <w:pStyle w:val="Compact"/>
              <w:jc w:val="left"/>
            </w:pPr>
            <w:r>
              <w:t xml:space="preserve">“The next ENSO Diagnostics Discussion is scheduled for 13 August 2026.”</w:t>
            </w:r>
          </w:p>
        </w:tc>
        <w:tc>
          <w:tcPr/>
          <w:p>
            <w:pPr>
              <w:pStyle w:val="Compact"/>
              <w:jc w:val="left"/>
            </w:pPr>
            <w:r>
              <w:t xml:space="preserve">NOAA CPC ENSO Diagnostic Discussion, 9 Jul 2026</w:t>
            </w:r>
          </w:p>
        </w:tc>
        <w:tc>
          <w:tcPr/>
          <w:p>
            <w:pPr>
              <w:pStyle w:val="Compact"/>
              <w:jc w:val="left"/>
            </w:pPr>
            <w:r>
              <w:t xml:space="preserve">as C1</w:t>
            </w:r>
          </w:p>
        </w:tc>
        <w:tc>
          <w:tcPr/>
          <w:p>
            <w:pPr>
              <w:pStyle w:val="Compact"/>
              <w:jc w:val="left"/>
            </w:pPr>
            <w:r>
              <w:t xml:space="preserve">2026-08-01</w:t>
            </w:r>
          </w:p>
        </w:tc>
        <w:tc>
          <w:tcPr/>
          <w:p>
            <w:pPr>
              <w:pStyle w:val="Compact"/>
              <w:jc w:val="left"/>
            </w:pPr>
            <w:r>
              <w:t xml:space="preserve">1</w:t>
            </w:r>
          </w:p>
        </w:tc>
        <w:tc>
          <w:tcPr/>
          <w:p>
            <w:pPr>
              <w:pStyle w:val="Compact"/>
              <w:jc w:val="left"/>
            </w:pPr>
            <w:r>
              <w:t xml:space="preserve">B</w:t>
            </w:r>
          </w:p>
        </w:tc>
      </w:tr>
      <w:tr>
        <w:tc>
          <w:tcPr/>
          <w:p>
            <w:pPr>
              <w:pStyle w:val="Compact"/>
              <w:jc w:val="left"/>
            </w:pPr>
            <w:r>
              <w:t xml:space="preserve">C10</w:t>
            </w:r>
          </w:p>
        </w:tc>
        <w:tc>
          <w:tcPr/>
          <w:p>
            <w:pPr>
              <w:pStyle w:val="Compact"/>
              <w:jc w:val="left"/>
            </w:pPr>
            <w:r>
              <w:t xml:space="preserve">BoM: El Niño underway since mid-June</w:t>
            </w:r>
          </w:p>
        </w:tc>
        <w:tc>
          <w:tcPr/>
          <w:p>
            <w:pPr>
              <w:pStyle w:val="Compact"/>
              <w:jc w:val="left"/>
            </w:pPr>
            <w:r>
              <w:t xml:space="preserve">“El Niño has been underway since mid-June and continues to strengthen, with further intensification likely in the coming months.”</w:t>
            </w:r>
          </w:p>
        </w:tc>
        <w:tc>
          <w:tcPr/>
          <w:p>
            <w:pPr>
              <w:pStyle w:val="Compact"/>
              <w:jc w:val="left"/>
            </w:pPr>
            <w:r>
              <w:t xml:space="preserve">BoM Southern hemisphere monitoring, 28 Jul 2026</w:t>
            </w:r>
          </w:p>
        </w:tc>
        <w:tc>
          <w:tcPr/>
          <w:p>
            <w:pPr>
              <w:pStyle w:val="Compact"/>
              <w:jc w:val="left"/>
            </w:pPr>
            <w:r>
              <w:t xml:space="preserve">https://www.bom.gov.au/climate/enso/</w:t>
            </w:r>
          </w:p>
        </w:tc>
        <w:tc>
          <w:tcPr/>
          <w:p>
            <w:pPr>
              <w:pStyle w:val="Compact"/>
              <w:jc w:val="left"/>
            </w:pPr>
            <w:r>
              <w:t xml:space="preserve">2026-08-01</w:t>
            </w:r>
          </w:p>
        </w:tc>
        <w:tc>
          <w:tcPr/>
          <w:p>
            <w:pPr>
              <w:pStyle w:val="Compact"/>
              <w:jc w:val="left"/>
            </w:pPr>
            <w:r>
              <w:t xml:space="preserve">1</w:t>
            </w:r>
          </w:p>
        </w:tc>
        <w:tc>
          <w:tcPr/>
          <w:p>
            <w:pPr>
              <w:pStyle w:val="Compact"/>
              <w:jc w:val="left"/>
            </w:pPr>
            <w:r>
              <w:t xml:space="preserve">A</w:t>
            </w:r>
          </w:p>
        </w:tc>
      </w:tr>
      <w:tr>
        <w:tc>
          <w:tcPr/>
          <w:p>
            <w:pPr>
              <w:pStyle w:val="Compact"/>
              <w:jc w:val="left"/>
            </w:pPr>
            <w:r>
              <w:t xml:space="preserve">C11</w:t>
            </w:r>
          </w:p>
        </w:tc>
        <w:tc>
          <w:tcPr/>
          <w:p>
            <w:pPr>
              <w:pStyle w:val="Compact"/>
              <w:jc w:val="left"/>
            </w:pPr>
            <w:r>
              <w:t xml:space="preserve">BoM: most models put the peak among or above the highest since 1950</w:t>
            </w:r>
          </w:p>
        </w:tc>
        <w:tc>
          <w:tcPr/>
          <w:p>
            <w:pPr>
              <w:pStyle w:val="Compact"/>
              <w:jc w:val="left"/>
            </w:pPr>
            <w:r>
              <w:t xml:space="preserve">“The majority of models indicate this event is likely to peak at levels among, or above, the highest observed since 1950.”</w:t>
            </w:r>
          </w:p>
        </w:tc>
        <w:tc>
          <w:tcPr/>
          <w:p>
            <w:pPr>
              <w:pStyle w:val="Compact"/>
              <w:jc w:val="left"/>
            </w:pPr>
            <w:r>
              <w:t xml:space="preserve">BoM Southern hemisphere monitoring, 28 Jul 2026</w:t>
            </w:r>
          </w:p>
        </w:tc>
        <w:tc>
          <w:tcPr/>
          <w:p>
            <w:pPr>
              <w:pStyle w:val="Compact"/>
              <w:jc w:val="left"/>
            </w:pPr>
            <w:r>
              <w:t xml:space="preserve">as C10</w:t>
            </w:r>
          </w:p>
        </w:tc>
        <w:tc>
          <w:tcPr/>
          <w:p>
            <w:pPr>
              <w:pStyle w:val="Compact"/>
              <w:jc w:val="left"/>
            </w:pPr>
            <w:r>
              <w:t xml:space="preserve">2026-08-01</w:t>
            </w:r>
          </w:p>
        </w:tc>
        <w:tc>
          <w:tcPr/>
          <w:p>
            <w:pPr>
              <w:pStyle w:val="Compact"/>
              <w:jc w:val="left"/>
            </w:pPr>
            <w:r>
              <w:t xml:space="preserve">1</w:t>
            </w:r>
          </w:p>
        </w:tc>
        <w:tc>
          <w:tcPr/>
          <w:p>
            <w:pPr>
              <w:pStyle w:val="Compact"/>
              <w:jc w:val="left"/>
            </w:pPr>
            <w:r>
              <w:t xml:space="preserve">A</w:t>
            </w:r>
          </w:p>
        </w:tc>
      </w:tr>
      <w:tr>
        <w:tc>
          <w:tcPr/>
          <w:p>
            <w:pPr>
              <w:pStyle w:val="Compact"/>
              <w:jc w:val="left"/>
            </w:pPr>
            <w:r>
              <w:t xml:space="preserve">C12</w:t>
            </w:r>
          </w:p>
        </w:tc>
        <w:tc>
          <w:tcPr/>
          <w:p>
            <w:pPr>
              <w:pStyle w:val="Compact"/>
              <w:jc w:val="left"/>
            </w:pPr>
            <w:r>
              <w:t xml:space="preserve">BoM Relative Niño 3.4 +1.94 °C, week ending 26 July 2026 (threshold +0.8 °C)</w:t>
            </w:r>
          </w:p>
        </w:tc>
        <w:tc>
          <w:tcPr/>
          <w:p>
            <w:pPr>
              <w:pStyle w:val="Compact"/>
              <w:jc w:val="left"/>
            </w:pPr>
            <w:r>
              <w:t xml:space="preserve">“The latest Relative Niño3.4 index value for the week ending 26 July 2026 is +1.94 °C, well above the El Niño threshold (+0.80 °C).”</w:t>
            </w:r>
          </w:p>
        </w:tc>
        <w:tc>
          <w:tcPr/>
          <w:p>
            <w:pPr>
              <w:pStyle w:val="Compact"/>
              <w:jc w:val="left"/>
            </w:pPr>
            <w:r>
              <w:t xml:space="preserve">BoM Southern hemisphere monitoring</w:t>
            </w:r>
          </w:p>
        </w:tc>
        <w:tc>
          <w:tcPr/>
          <w:p>
            <w:pPr>
              <w:pStyle w:val="Compact"/>
              <w:jc w:val="left"/>
            </w:pPr>
            <w:r>
              <w:t xml:space="preserve">as C10</w:t>
            </w:r>
          </w:p>
        </w:tc>
        <w:tc>
          <w:tcPr/>
          <w:p>
            <w:pPr>
              <w:pStyle w:val="Compact"/>
              <w:jc w:val="left"/>
            </w:pPr>
            <w:r>
              <w:t xml:space="preserve">2026-08-01</w:t>
            </w:r>
          </w:p>
        </w:tc>
        <w:tc>
          <w:tcPr/>
          <w:p>
            <w:pPr>
              <w:pStyle w:val="Compact"/>
              <w:jc w:val="left"/>
            </w:pPr>
            <w:r>
              <w:t xml:space="preserve">1</w:t>
            </w:r>
          </w:p>
        </w:tc>
        <w:tc>
          <w:tcPr/>
          <w:p>
            <w:pPr>
              <w:pStyle w:val="Compact"/>
              <w:jc w:val="left"/>
            </w:pPr>
            <w:r>
              <w:t xml:space="preserve">A</w:t>
            </w:r>
          </w:p>
        </w:tc>
      </w:tr>
      <w:tr>
        <w:tc>
          <w:tcPr/>
          <w:p>
            <w:pPr>
              <w:pStyle w:val="Compact"/>
              <w:jc w:val="left"/>
            </w:pPr>
            <w:r>
              <w:t xml:space="preserve">C13</w:t>
            </w:r>
          </w:p>
        </w:tc>
        <w:tc>
          <w:tcPr/>
          <w:p>
            <w:pPr>
              <w:pStyle w:val="Compact"/>
              <w:jc w:val="left"/>
            </w:pPr>
            <w:r>
              <w:t xml:space="preserve">IOD index +0.44 °C, first week at the positive threshold</w:t>
            </w:r>
          </w:p>
        </w:tc>
        <w:tc>
          <w:tcPr/>
          <w:p>
            <w:pPr>
              <w:pStyle w:val="Compact"/>
              <w:jc w:val="left"/>
            </w:pPr>
            <w:r>
              <w:t xml:space="preserve">“As of 26 July 2026, the weekly IOD index is +0.44 °C, which is the first week that the index has reached the positive IOD threshold (+0.4 °C), with sustained values above this threshold required before an event is considered established.”</w:t>
            </w:r>
          </w:p>
        </w:tc>
        <w:tc>
          <w:tcPr/>
          <w:p>
            <w:pPr>
              <w:pStyle w:val="Compact"/>
              <w:jc w:val="left"/>
            </w:pPr>
            <w:r>
              <w:t xml:space="preserve">BoM Southern hemisphere monitoring</w:t>
            </w:r>
          </w:p>
        </w:tc>
        <w:tc>
          <w:tcPr/>
          <w:p>
            <w:pPr>
              <w:pStyle w:val="Compact"/>
              <w:jc w:val="left"/>
            </w:pPr>
            <w:r>
              <w:t xml:space="preserve">as C10</w:t>
            </w:r>
          </w:p>
        </w:tc>
        <w:tc>
          <w:tcPr/>
          <w:p>
            <w:pPr>
              <w:pStyle w:val="Compact"/>
              <w:jc w:val="left"/>
            </w:pPr>
            <w:r>
              <w:t xml:space="preserve">2026-08-01</w:t>
            </w:r>
          </w:p>
        </w:tc>
        <w:tc>
          <w:tcPr/>
          <w:p>
            <w:pPr>
              <w:pStyle w:val="Compact"/>
              <w:jc w:val="left"/>
            </w:pPr>
            <w:r>
              <w:t xml:space="preserve">1</w:t>
            </w:r>
          </w:p>
        </w:tc>
        <w:tc>
          <w:tcPr/>
          <w:p>
            <w:pPr>
              <w:pStyle w:val="Compact"/>
              <w:jc w:val="left"/>
            </w:pPr>
            <w:r>
              <w:t xml:space="preserve">A</w:t>
            </w:r>
          </w:p>
        </w:tc>
      </w:tr>
      <w:tr>
        <w:tc>
          <w:tcPr/>
          <w:p>
            <w:pPr>
              <w:pStyle w:val="Compact"/>
              <w:jc w:val="left"/>
            </w:pPr>
            <w:r>
              <w:t xml:space="preserve">C14</w:t>
            </w:r>
          </w:p>
        </w:tc>
        <w:tc>
          <w:tcPr/>
          <w:p>
            <w:pPr>
              <w:pStyle w:val="Compact"/>
              <w:jc w:val="left"/>
            </w:pPr>
            <w:r>
              <w:t xml:space="preserve">Models favour a positive IOD developing in winter, persisting into spring</w:t>
            </w:r>
          </w:p>
        </w:tc>
        <w:tc>
          <w:tcPr/>
          <w:p>
            <w:pPr>
              <w:pStyle w:val="Compact"/>
              <w:jc w:val="left"/>
            </w:pPr>
            <w:r>
              <w:t xml:space="preserve">“Models suggest a positive IOD may develop during the southern hemisphere winter and persist into spring, although there remains some variation in timing and strength.”</w:t>
            </w:r>
          </w:p>
        </w:tc>
        <w:tc>
          <w:tcPr/>
          <w:p>
            <w:pPr>
              <w:pStyle w:val="Compact"/>
              <w:jc w:val="left"/>
            </w:pPr>
            <w:r>
              <w:t xml:space="preserve">BoM Southern hemisphere monitoring</w:t>
            </w:r>
          </w:p>
        </w:tc>
        <w:tc>
          <w:tcPr/>
          <w:p>
            <w:pPr>
              <w:pStyle w:val="Compact"/>
              <w:jc w:val="left"/>
            </w:pPr>
            <w:r>
              <w:t xml:space="preserve">as C10</w:t>
            </w:r>
          </w:p>
        </w:tc>
        <w:tc>
          <w:tcPr/>
          <w:p>
            <w:pPr>
              <w:pStyle w:val="Compact"/>
              <w:jc w:val="left"/>
            </w:pPr>
            <w:r>
              <w:t xml:space="preserve">2026-08-01</w:t>
            </w:r>
          </w:p>
        </w:tc>
        <w:tc>
          <w:tcPr/>
          <w:p>
            <w:pPr>
              <w:pStyle w:val="Compact"/>
              <w:jc w:val="left"/>
            </w:pPr>
            <w:r>
              <w:t xml:space="preserve">1</w:t>
            </w:r>
          </w:p>
        </w:tc>
        <w:tc>
          <w:tcPr/>
          <w:p>
            <w:pPr>
              <w:pStyle w:val="Compact"/>
              <w:jc w:val="left"/>
            </w:pPr>
            <w:r>
              <w:t xml:space="preserve">A</w:t>
            </w:r>
          </w:p>
        </w:tc>
      </w:tr>
      <w:tr>
        <w:tc>
          <w:tcPr/>
          <w:p>
            <w:pPr>
              <w:pStyle w:val="Compact"/>
              <w:jc w:val="left"/>
            </w:pPr>
            <w:r>
              <w:t xml:space="preserve">C15</w:t>
            </w:r>
          </w:p>
        </w:tc>
        <w:tc>
          <w:tcPr/>
          <w:p>
            <w:pPr>
              <w:pStyle w:val="Compact"/>
              <w:jc w:val="left"/>
            </w:pPr>
            <w:r>
              <w:t xml:space="preserve">30-day SOI −28.0 to 26 July</w:t>
            </w:r>
          </w:p>
        </w:tc>
        <w:tc>
          <w:tcPr/>
          <w:p>
            <w:pPr>
              <w:pStyle w:val="Compact"/>
              <w:jc w:val="left"/>
            </w:pPr>
            <w:r>
              <w:t xml:space="preserve">“30-day SOI to 26 July at –28.0”</w:t>
            </w:r>
          </w:p>
        </w:tc>
        <w:tc>
          <w:tcPr/>
          <w:p>
            <w:pPr>
              <w:pStyle w:val="Compact"/>
              <w:jc w:val="left"/>
            </w:pPr>
            <w:r>
              <w:t xml:space="preserve">BoM Southern hemisphere monitoring</w:t>
            </w:r>
          </w:p>
        </w:tc>
        <w:tc>
          <w:tcPr/>
          <w:p>
            <w:pPr>
              <w:pStyle w:val="Compact"/>
              <w:jc w:val="left"/>
            </w:pPr>
            <w:r>
              <w:t xml:space="preserve">as C10</w:t>
            </w:r>
          </w:p>
        </w:tc>
        <w:tc>
          <w:tcPr/>
          <w:p>
            <w:pPr>
              <w:pStyle w:val="Compact"/>
              <w:jc w:val="left"/>
            </w:pPr>
            <w:r>
              <w:t xml:space="preserve">2026-08-01</w:t>
            </w:r>
          </w:p>
        </w:tc>
        <w:tc>
          <w:tcPr/>
          <w:p>
            <w:pPr>
              <w:pStyle w:val="Compact"/>
              <w:jc w:val="left"/>
            </w:pPr>
            <w:r>
              <w:t xml:space="preserve">1</w:t>
            </w:r>
          </w:p>
        </w:tc>
        <w:tc>
          <w:tcPr/>
          <w:p>
            <w:pPr>
              <w:pStyle w:val="Compact"/>
              <w:jc w:val="left"/>
            </w:pPr>
            <w:r>
              <w:t xml:space="preserve">A</w:t>
            </w:r>
          </w:p>
        </w:tc>
      </w:tr>
      <w:tr>
        <w:tc>
          <w:tcPr/>
          <w:p>
            <w:pPr>
              <w:pStyle w:val="Compact"/>
              <w:jc w:val="left"/>
            </w:pPr>
            <w:r>
              <w:t xml:space="preserve">C16</w:t>
            </w:r>
          </w:p>
        </w:tc>
        <w:tc>
          <w:tcPr/>
          <w:p>
            <w:pPr>
              <w:pStyle w:val="Compact"/>
              <w:jc w:val="left"/>
            </w:pPr>
            <w:r>
              <w:t xml:space="preserve">SAM index negative, forecast to remain so to early August</w:t>
            </w:r>
          </w:p>
        </w:tc>
        <w:tc>
          <w:tcPr/>
          <w:p>
            <w:pPr>
              <w:pStyle w:val="Compact"/>
              <w:jc w:val="left"/>
            </w:pPr>
            <w:r>
              <w:t xml:space="preserve">“The Southern Annular Mode index is negative and forecast to remain so until at least early August.”</w:t>
            </w:r>
          </w:p>
        </w:tc>
        <w:tc>
          <w:tcPr/>
          <w:p>
            <w:pPr>
              <w:pStyle w:val="Compact"/>
              <w:jc w:val="left"/>
            </w:pPr>
            <w:r>
              <w:t xml:space="preserve">BoM Southern hemisphere monitoring</w:t>
            </w:r>
          </w:p>
        </w:tc>
        <w:tc>
          <w:tcPr/>
          <w:p>
            <w:pPr>
              <w:pStyle w:val="Compact"/>
              <w:jc w:val="left"/>
            </w:pPr>
            <w:r>
              <w:t xml:space="preserve">as C10</w:t>
            </w:r>
          </w:p>
        </w:tc>
        <w:tc>
          <w:tcPr/>
          <w:p>
            <w:pPr>
              <w:pStyle w:val="Compact"/>
              <w:jc w:val="left"/>
            </w:pPr>
            <w:r>
              <w:t xml:space="preserve">2026-08-01</w:t>
            </w:r>
          </w:p>
        </w:tc>
        <w:tc>
          <w:tcPr/>
          <w:p>
            <w:pPr>
              <w:pStyle w:val="Compact"/>
              <w:jc w:val="left"/>
            </w:pPr>
            <w:r>
              <w:t xml:space="preserve">1</w:t>
            </w:r>
          </w:p>
        </w:tc>
        <w:tc>
          <w:tcPr/>
          <w:p>
            <w:pPr>
              <w:pStyle w:val="Compact"/>
              <w:jc w:val="left"/>
            </w:pPr>
            <w:r>
              <w:t xml:space="preserve">B</w:t>
            </w:r>
          </w:p>
        </w:tc>
      </w:tr>
      <w:tr>
        <w:tc>
          <w:tcPr/>
          <w:p>
            <w:pPr>
              <w:pStyle w:val="Compact"/>
              <w:jc w:val="left"/>
            </w:pPr>
            <w:r>
              <w:t xml:space="preserve">C17</w:t>
            </w:r>
          </w:p>
        </w:tc>
        <w:tc>
          <w:tcPr/>
          <w:p>
            <w:pPr>
              <w:pStyle w:val="Compact"/>
              <w:jc w:val="left"/>
            </w:pPr>
            <w:r>
              <w:t xml:space="preserve">BoM caveat: strong Niño 3.4 signal does not necessarily mean strong Australian impacts</w:t>
            </w:r>
          </w:p>
        </w:tc>
        <w:tc>
          <w:tcPr/>
          <w:p>
            <w:pPr>
              <w:pStyle w:val="Compact"/>
              <w:jc w:val="left"/>
            </w:pPr>
            <w:r>
              <w:t xml:space="preserve">“A strong El Niño signal in the Niño 3.4 region does not necessarily mean strong impacts on Australia’s climate; ENSO is only one of many factors.”</w:t>
            </w:r>
          </w:p>
        </w:tc>
        <w:tc>
          <w:tcPr/>
          <w:p>
            <w:pPr>
              <w:pStyle w:val="Compact"/>
              <w:jc w:val="left"/>
            </w:pPr>
            <w:r>
              <w:t xml:space="preserve">BoM Southern hemisphere monitoring</w:t>
            </w:r>
          </w:p>
        </w:tc>
        <w:tc>
          <w:tcPr/>
          <w:p>
            <w:pPr>
              <w:pStyle w:val="Compact"/>
              <w:jc w:val="left"/>
            </w:pPr>
            <w:r>
              <w:t xml:space="preserve">as C10</w:t>
            </w:r>
          </w:p>
        </w:tc>
        <w:tc>
          <w:tcPr/>
          <w:p>
            <w:pPr>
              <w:pStyle w:val="Compact"/>
              <w:jc w:val="left"/>
            </w:pPr>
            <w:r>
              <w:t xml:space="preserve">2026-08-01</w:t>
            </w:r>
          </w:p>
        </w:tc>
        <w:tc>
          <w:tcPr/>
          <w:p>
            <w:pPr>
              <w:pStyle w:val="Compact"/>
              <w:jc w:val="left"/>
            </w:pPr>
            <w:r>
              <w:t xml:space="preserve">1</w:t>
            </w:r>
          </w:p>
        </w:tc>
        <w:tc>
          <w:tcPr/>
          <w:p>
            <w:pPr>
              <w:pStyle w:val="Compact"/>
              <w:jc w:val="left"/>
            </w:pPr>
            <w:r>
              <w:t xml:space="preserve">A</w:t>
            </w:r>
          </w:p>
        </w:tc>
      </w:tr>
      <w:tr>
        <w:tc>
          <w:tcPr/>
          <w:p>
            <w:pPr>
              <w:pStyle w:val="Compact"/>
              <w:jc w:val="left"/>
            </w:pPr>
            <w:r>
              <w:t xml:space="preserve">C18</w:t>
            </w:r>
          </w:p>
        </w:tc>
        <w:tc>
          <w:tcPr/>
          <w:p>
            <w:pPr>
              <w:pStyle w:val="Compact"/>
              <w:jc w:val="left"/>
            </w:pPr>
            <w:r>
              <w:t xml:space="preserve">BoM Aug–Oct 2026 rainfall outlook</w:t>
            </w:r>
          </w:p>
        </w:tc>
        <w:tc>
          <w:tcPr/>
          <w:p>
            <w:pPr>
              <w:pStyle w:val="Compact"/>
              <w:jc w:val="left"/>
            </w:pPr>
            <w:r>
              <w:t xml:space="preserve">“Below average August to October rainfall likely across the south-west and east; above average in the north-west”</w:t>
            </w:r>
            <w:r>
              <w:t xml:space="preserve"> </w:t>
            </w:r>
            <w:r>
              <w:t xml:space="preserve">(issued 30 July 2026)</w:t>
            </w:r>
          </w:p>
        </w:tc>
        <w:tc>
          <w:tcPr/>
          <w:p>
            <w:pPr>
              <w:pStyle w:val="Compact"/>
              <w:jc w:val="left"/>
            </w:pPr>
            <w:r>
              <w:t xml:space="preserve">BoM Australian long-range forecast</w:t>
            </w:r>
          </w:p>
        </w:tc>
        <w:tc>
          <w:tcPr/>
          <w:p>
            <w:pPr>
              <w:pStyle w:val="Compact"/>
              <w:jc w:val="left"/>
            </w:pPr>
            <w:r>
              <w:t xml:space="preserve">https://www.bom.gov.au/climate/ahead/outlooks/</w:t>
            </w:r>
          </w:p>
        </w:tc>
        <w:tc>
          <w:tcPr/>
          <w:p>
            <w:pPr>
              <w:pStyle w:val="Compact"/>
              <w:jc w:val="left"/>
            </w:pPr>
            <w:r>
              <w:t xml:space="preserve">2026-08-01</w:t>
            </w:r>
          </w:p>
        </w:tc>
        <w:tc>
          <w:tcPr/>
          <w:p>
            <w:pPr>
              <w:pStyle w:val="Compact"/>
              <w:jc w:val="left"/>
            </w:pPr>
            <w:r>
              <w:t xml:space="preserve">1</w:t>
            </w:r>
          </w:p>
        </w:tc>
        <w:tc>
          <w:tcPr/>
          <w:p>
            <w:pPr>
              <w:pStyle w:val="Compact"/>
              <w:jc w:val="left"/>
            </w:pPr>
            <w:r>
              <w:t xml:space="preserve">A</w:t>
            </w:r>
          </w:p>
        </w:tc>
      </w:tr>
      <w:tr>
        <w:tc>
          <w:tcPr/>
          <w:p>
            <w:pPr>
              <w:pStyle w:val="Compact"/>
              <w:jc w:val="left"/>
            </w:pPr>
            <w:r>
              <w:t xml:space="preserve">C19</w:t>
            </w:r>
          </w:p>
        </w:tc>
        <w:tc>
          <w:tcPr/>
          <w:p>
            <w:pPr>
              <w:pStyle w:val="Compact"/>
              <w:jc w:val="left"/>
            </w:pPr>
            <w:r>
              <w:t xml:space="preserve">BoM Aug–Oct 2026 temperature outlook</w:t>
            </w:r>
          </w:p>
        </w:tc>
        <w:tc>
          <w:tcPr/>
          <w:p>
            <w:pPr>
              <w:pStyle w:val="Compact"/>
              <w:jc w:val="left"/>
            </w:pPr>
            <w:r>
              <w:t xml:space="preserve">“Above average temperatures likely across much of Australia”</w:t>
            </w:r>
          </w:p>
        </w:tc>
        <w:tc>
          <w:tcPr/>
          <w:p>
            <w:pPr>
              <w:pStyle w:val="Compact"/>
              <w:jc w:val="left"/>
            </w:pPr>
            <w:r>
              <w:t xml:space="preserve">BoM Australian long-range forecast</w:t>
            </w:r>
          </w:p>
        </w:tc>
        <w:tc>
          <w:tcPr/>
          <w:p>
            <w:pPr>
              <w:pStyle w:val="Compact"/>
              <w:jc w:val="left"/>
            </w:pPr>
            <w:r>
              <w:t xml:space="preserve">as C18</w:t>
            </w:r>
          </w:p>
        </w:tc>
        <w:tc>
          <w:tcPr/>
          <w:p>
            <w:pPr>
              <w:pStyle w:val="Compact"/>
              <w:jc w:val="left"/>
            </w:pPr>
            <w:r>
              <w:t xml:space="preserve">2026-08-01</w:t>
            </w:r>
          </w:p>
        </w:tc>
        <w:tc>
          <w:tcPr/>
          <w:p>
            <w:pPr>
              <w:pStyle w:val="Compact"/>
              <w:jc w:val="left"/>
            </w:pPr>
            <w:r>
              <w:t xml:space="preserve">1</w:t>
            </w:r>
          </w:p>
        </w:tc>
        <w:tc>
          <w:tcPr/>
          <w:p>
            <w:pPr>
              <w:pStyle w:val="Compact"/>
              <w:jc w:val="left"/>
            </w:pPr>
            <w:r>
              <w:t xml:space="preserve">A</w:t>
            </w:r>
          </w:p>
        </w:tc>
      </w:tr>
      <w:tr>
        <w:tc>
          <w:tcPr/>
          <w:p>
            <w:pPr>
              <w:pStyle w:val="Compact"/>
              <w:jc w:val="left"/>
            </w:pPr>
            <w:r>
              <w:t xml:space="preserve">C20</w:t>
            </w:r>
          </w:p>
        </w:tc>
        <w:tc>
          <w:tcPr/>
          <w:p>
            <w:pPr>
              <w:pStyle w:val="Compact"/>
              <w:jc w:val="left"/>
            </w:pPr>
            <w:r>
              <w:t xml:space="preserve">&gt;80% chance of unusually hot maxima in western WA and the south-east</w:t>
            </w:r>
          </w:p>
        </w:tc>
        <w:tc>
          <w:tcPr/>
          <w:p>
            <w:pPr>
              <w:pStyle w:val="Compact"/>
              <w:jc w:val="left"/>
            </w:pPr>
            <w:r>
              <w:t xml:space="preserve">“with strongest signals (over 80%) in western Western Australia and southeastern areas”</w:t>
            </w:r>
          </w:p>
        </w:tc>
        <w:tc>
          <w:tcPr/>
          <w:p>
            <w:pPr>
              <w:pStyle w:val="Compact"/>
              <w:jc w:val="left"/>
            </w:pPr>
            <w:r>
              <w:t xml:space="preserve">BoM Australian long-range forecast</w:t>
            </w:r>
          </w:p>
        </w:tc>
        <w:tc>
          <w:tcPr/>
          <w:p>
            <w:pPr>
              <w:pStyle w:val="Compact"/>
              <w:jc w:val="left"/>
            </w:pPr>
            <w:r>
              <w:t xml:space="preserve">as C18</w:t>
            </w:r>
          </w:p>
        </w:tc>
        <w:tc>
          <w:tcPr/>
          <w:p>
            <w:pPr>
              <w:pStyle w:val="Compact"/>
              <w:jc w:val="left"/>
            </w:pPr>
            <w:r>
              <w:t xml:space="preserve">2026-08-01</w:t>
            </w:r>
          </w:p>
        </w:tc>
        <w:tc>
          <w:tcPr/>
          <w:p>
            <w:pPr>
              <w:pStyle w:val="Compact"/>
              <w:jc w:val="left"/>
            </w:pPr>
            <w:r>
              <w:t xml:space="preserve">1</w:t>
            </w:r>
          </w:p>
        </w:tc>
        <w:tc>
          <w:tcPr/>
          <w:p>
            <w:pPr>
              <w:pStyle w:val="Compact"/>
              <w:jc w:val="left"/>
            </w:pPr>
            <w:r>
              <w:t xml:space="preserve">B</w:t>
            </w:r>
          </w:p>
        </w:tc>
      </w:tr>
      <w:tr>
        <w:tc>
          <w:tcPr/>
          <w:p>
            <w:pPr>
              <w:pStyle w:val="Compact"/>
              <w:jc w:val="left"/>
            </w:pPr>
            <w:r>
              <w:t xml:space="preserve">C21</w:t>
            </w:r>
          </w:p>
        </w:tc>
        <w:tc>
          <w:tcPr/>
          <w:p>
            <w:pPr>
              <w:pStyle w:val="Compact"/>
              <w:jc w:val="left"/>
            </w:pPr>
            <w:r>
              <w:t xml:space="preserve">Winter crop production forecast −21% to 54.5 Mt in 2026–27</w:t>
            </w:r>
          </w:p>
        </w:tc>
        <w:tc>
          <w:tcPr/>
          <w:p>
            <w:pPr>
              <w:pStyle w:val="Compact"/>
              <w:jc w:val="left"/>
            </w:pPr>
            <w:r>
              <w:t xml:space="preserve">“National winter crop production is forecast to decrease 21% to 54.5 million tonnes in 2026–27, reflecting an expected fall in the total area planted and lower yields.”</w:t>
            </w:r>
          </w:p>
        </w:tc>
        <w:tc>
          <w:tcPr/>
          <w:p>
            <w:pPr>
              <w:pStyle w:val="Compact"/>
              <w:jc w:val="left"/>
            </w:pPr>
            <w:r>
              <w:t xml:space="preserve">ABARES Australian Crop Report June 2026 No. 218</w:t>
            </w:r>
          </w:p>
        </w:tc>
        <w:tc>
          <w:tcPr/>
          <w:p>
            <w:pPr>
              <w:pStyle w:val="Compact"/>
              <w:jc w:val="left"/>
            </w:pPr>
            <w:r>
              <w:t xml:space="preserve">https://www.agriculture.gov.au/abares/research-topics/agricultural-outlook/australian-crop-report/june-2026</w:t>
            </w:r>
          </w:p>
        </w:tc>
        <w:tc>
          <w:tcPr/>
          <w:p>
            <w:pPr>
              <w:pStyle w:val="Compact"/>
              <w:jc w:val="left"/>
            </w:pPr>
            <w:r>
              <w:t xml:space="preserve">2026-08-01</w:t>
            </w:r>
          </w:p>
        </w:tc>
        <w:tc>
          <w:tcPr/>
          <w:p>
            <w:pPr>
              <w:pStyle w:val="Compact"/>
              <w:jc w:val="left"/>
            </w:pPr>
            <w:r>
              <w:t xml:space="preserve">1</w:t>
            </w:r>
          </w:p>
        </w:tc>
        <w:tc>
          <w:tcPr/>
          <w:p>
            <w:pPr>
              <w:pStyle w:val="Compact"/>
              <w:jc w:val="left"/>
            </w:pPr>
            <w:r>
              <w:t xml:space="preserve">A</w:t>
            </w:r>
          </w:p>
        </w:tc>
      </w:tr>
      <w:tr>
        <w:tc>
          <w:tcPr/>
          <w:p>
            <w:pPr>
              <w:pStyle w:val="Compact"/>
              <w:jc w:val="left"/>
            </w:pPr>
            <w:r>
              <w:t xml:space="preserve">C22</w:t>
            </w:r>
          </w:p>
        </w:tc>
        <w:tc>
          <w:tcPr/>
          <w:p>
            <w:pPr>
              <w:pStyle w:val="Compact"/>
              <w:jc w:val="left"/>
            </w:pPr>
            <w:r>
              <w:t xml:space="preserve">Wheat −26% to 26.7 Mt; barley −15% to 14.1 Mt; canola −20% to 6.2 Mt</w:t>
            </w:r>
          </w:p>
        </w:tc>
        <w:tc>
          <w:tcPr/>
          <w:p>
            <w:pPr>
              <w:pStyle w:val="Compact"/>
              <w:jc w:val="left"/>
            </w:pPr>
            <w:r>
              <w:t xml:space="preserve">“Wheat production is forecast to fall by 26% to 26.7 million tonnes in 2026–27 … Barley production is forecast to fall by 15% to 14.1 million tonnes … Canola production is forecast to fall by 20% to 6.2 million tonnes”</w:t>
            </w:r>
          </w:p>
        </w:tc>
        <w:tc>
          <w:tcPr/>
          <w:p>
            <w:pPr>
              <w:pStyle w:val="Compact"/>
              <w:jc w:val="left"/>
            </w:pPr>
            <w:r>
              <w:t xml:space="preserve">ABARES Crop Report June 2026</w:t>
            </w:r>
          </w:p>
        </w:tc>
        <w:tc>
          <w:tcPr/>
          <w:p>
            <w:pPr>
              <w:pStyle w:val="Compact"/>
              <w:jc w:val="left"/>
            </w:pPr>
            <w:r>
              <w:t xml:space="preserve">as C21</w:t>
            </w:r>
          </w:p>
        </w:tc>
        <w:tc>
          <w:tcPr/>
          <w:p>
            <w:pPr>
              <w:pStyle w:val="Compact"/>
              <w:jc w:val="left"/>
            </w:pPr>
            <w:r>
              <w:t xml:space="preserve">2026-08-01</w:t>
            </w:r>
          </w:p>
        </w:tc>
        <w:tc>
          <w:tcPr/>
          <w:p>
            <w:pPr>
              <w:pStyle w:val="Compact"/>
              <w:jc w:val="left"/>
            </w:pPr>
            <w:r>
              <w:t xml:space="preserve">1</w:t>
            </w:r>
          </w:p>
        </w:tc>
        <w:tc>
          <w:tcPr/>
          <w:p>
            <w:pPr>
              <w:pStyle w:val="Compact"/>
              <w:jc w:val="left"/>
            </w:pPr>
            <w:r>
              <w:t xml:space="preserve">A</w:t>
            </w:r>
          </w:p>
        </w:tc>
      </w:tr>
      <w:tr>
        <w:tc>
          <w:tcPr/>
          <w:p>
            <w:pPr>
              <w:pStyle w:val="Compact"/>
              <w:jc w:val="left"/>
            </w:pPr>
            <w:r>
              <w:t xml:space="preserve">C23</w:t>
            </w:r>
          </w:p>
        </w:tc>
        <w:tc>
          <w:tcPr/>
          <w:p>
            <w:pPr>
              <w:pStyle w:val="Compact"/>
              <w:jc w:val="left"/>
            </w:pPr>
            <w:r>
              <w:t xml:space="preserve">NSW winter crop −37% to 11.7 Mt</w:t>
            </w:r>
          </w:p>
        </w:tc>
        <w:tc>
          <w:tcPr/>
          <w:p>
            <w:pPr>
              <w:pStyle w:val="Compact"/>
              <w:jc w:val="left"/>
            </w:pPr>
            <w:r>
              <w:t xml:space="preserve">“Winter crop production in New South Wales is forecast to decrease by 37% to 11.7 million tonnes in 2026–27”</w:t>
            </w:r>
          </w:p>
        </w:tc>
        <w:tc>
          <w:tcPr/>
          <w:p>
            <w:pPr>
              <w:pStyle w:val="Compact"/>
              <w:jc w:val="left"/>
            </w:pPr>
            <w:r>
              <w:t xml:space="preserve">ABARES Crop Report June 2026</w:t>
            </w:r>
          </w:p>
        </w:tc>
        <w:tc>
          <w:tcPr/>
          <w:p>
            <w:pPr>
              <w:pStyle w:val="Compact"/>
              <w:jc w:val="left"/>
            </w:pPr>
            <w:r>
              <w:t xml:space="preserve">as C21</w:t>
            </w:r>
          </w:p>
        </w:tc>
        <w:tc>
          <w:tcPr/>
          <w:p>
            <w:pPr>
              <w:pStyle w:val="Compact"/>
              <w:jc w:val="left"/>
            </w:pPr>
            <w:r>
              <w:t xml:space="preserve">2026-08-01</w:t>
            </w:r>
          </w:p>
        </w:tc>
        <w:tc>
          <w:tcPr/>
          <w:p>
            <w:pPr>
              <w:pStyle w:val="Compact"/>
              <w:jc w:val="left"/>
            </w:pPr>
            <w:r>
              <w:t xml:space="preserve">1</w:t>
            </w:r>
          </w:p>
        </w:tc>
        <w:tc>
          <w:tcPr/>
          <w:p>
            <w:pPr>
              <w:pStyle w:val="Compact"/>
              <w:jc w:val="left"/>
            </w:pPr>
            <w:r>
              <w:t xml:space="preserve">A</w:t>
            </w:r>
          </w:p>
        </w:tc>
      </w:tr>
      <w:tr>
        <w:tc>
          <w:tcPr/>
          <w:p>
            <w:pPr>
              <w:pStyle w:val="Compact"/>
              <w:jc w:val="left"/>
            </w:pPr>
            <w:r>
              <w:t xml:space="preserve">C24</w:t>
            </w:r>
          </w:p>
        </w:tc>
        <w:tc>
          <w:tcPr/>
          <w:p>
            <w:pPr>
              <w:pStyle w:val="Compact"/>
              <w:jc w:val="left"/>
            </w:pPr>
            <w:r>
              <w:t xml:space="preserve">Queensland winter crop −38% to 2.4 Mt</w:t>
            </w:r>
          </w:p>
        </w:tc>
        <w:tc>
          <w:tcPr/>
          <w:p>
            <w:pPr>
              <w:pStyle w:val="Compact"/>
              <w:jc w:val="left"/>
            </w:pPr>
            <w:r>
              <w:t xml:space="preserve">“Winter crop production in Queensland is forecast to fall by 38% to 2.4 million tonnes in 2026–27.”</w:t>
            </w:r>
          </w:p>
        </w:tc>
        <w:tc>
          <w:tcPr/>
          <w:p>
            <w:pPr>
              <w:pStyle w:val="Compact"/>
              <w:jc w:val="left"/>
            </w:pPr>
            <w:r>
              <w:t xml:space="preserve">ABARES Crop Report June 2026</w:t>
            </w:r>
          </w:p>
        </w:tc>
        <w:tc>
          <w:tcPr/>
          <w:p>
            <w:pPr>
              <w:pStyle w:val="Compact"/>
              <w:jc w:val="left"/>
            </w:pPr>
            <w:r>
              <w:t xml:space="preserve">as C21</w:t>
            </w:r>
          </w:p>
        </w:tc>
        <w:tc>
          <w:tcPr/>
          <w:p>
            <w:pPr>
              <w:pStyle w:val="Compact"/>
              <w:jc w:val="left"/>
            </w:pPr>
            <w:r>
              <w:t xml:space="preserve">2026-08-01</w:t>
            </w:r>
          </w:p>
        </w:tc>
        <w:tc>
          <w:tcPr/>
          <w:p>
            <w:pPr>
              <w:pStyle w:val="Compact"/>
              <w:jc w:val="left"/>
            </w:pPr>
            <w:r>
              <w:t xml:space="preserve">1</w:t>
            </w:r>
          </w:p>
        </w:tc>
        <w:tc>
          <w:tcPr/>
          <w:p>
            <w:pPr>
              <w:pStyle w:val="Compact"/>
              <w:jc w:val="left"/>
            </w:pPr>
            <w:r>
              <w:t xml:space="preserve">A</w:t>
            </w:r>
          </w:p>
        </w:tc>
      </w:tr>
      <w:tr>
        <w:tc>
          <w:tcPr/>
          <w:p>
            <w:pPr>
              <w:pStyle w:val="Compact"/>
              <w:jc w:val="left"/>
            </w:pPr>
            <w:r>
              <w:t xml:space="preserve">C25</w:t>
            </w:r>
          </w:p>
        </w:tc>
        <w:tc>
          <w:tcPr/>
          <w:p>
            <w:pPr>
              <w:pStyle w:val="Compact"/>
              <w:jc w:val="left"/>
            </w:pPr>
            <w:r>
              <w:t xml:space="preserve">WA winter crop −21% to 21.5 Mt</w:t>
            </w:r>
          </w:p>
        </w:tc>
        <w:tc>
          <w:tcPr/>
          <w:p>
            <w:pPr>
              <w:pStyle w:val="Compact"/>
              <w:jc w:val="left"/>
            </w:pPr>
            <w:r>
              <w:t xml:space="preserve">“Winter crop production in Western Australia is forecast to fall by 21% to 21.5 million tonnes in 2026–27, compared to the record production levels achieved in 2025–26.”</w:t>
            </w:r>
          </w:p>
        </w:tc>
        <w:tc>
          <w:tcPr/>
          <w:p>
            <w:pPr>
              <w:pStyle w:val="Compact"/>
              <w:jc w:val="left"/>
            </w:pPr>
            <w:r>
              <w:t xml:space="preserve">ABARES Crop Report June 2026</w:t>
            </w:r>
          </w:p>
        </w:tc>
        <w:tc>
          <w:tcPr/>
          <w:p>
            <w:pPr>
              <w:pStyle w:val="Compact"/>
              <w:jc w:val="left"/>
            </w:pPr>
            <w:r>
              <w:t xml:space="preserve">as C21</w:t>
            </w:r>
          </w:p>
        </w:tc>
        <w:tc>
          <w:tcPr/>
          <w:p>
            <w:pPr>
              <w:pStyle w:val="Compact"/>
              <w:jc w:val="left"/>
            </w:pPr>
            <w:r>
              <w:t xml:space="preserve">2026-08-01</w:t>
            </w:r>
          </w:p>
        </w:tc>
        <w:tc>
          <w:tcPr/>
          <w:p>
            <w:pPr>
              <w:pStyle w:val="Compact"/>
              <w:jc w:val="left"/>
            </w:pPr>
            <w:r>
              <w:t xml:space="preserve">1</w:t>
            </w:r>
          </w:p>
        </w:tc>
        <w:tc>
          <w:tcPr/>
          <w:p>
            <w:pPr>
              <w:pStyle w:val="Compact"/>
              <w:jc w:val="left"/>
            </w:pPr>
            <w:r>
              <w:t xml:space="preserve">A</w:t>
            </w:r>
          </w:p>
        </w:tc>
      </w:tr>
      <w:tr>
        <w:tc>
          <w:tcPr/>
          <w:p>
            <w:pPr>
              <w:pStyle w:val="Compact"/>
              <w:jc w:val="left"/>
            </w:pPr>
            <w:r>
              <w:t xml:space="preserve">C26</w:t>
            </w:r>
          </w:p>
        </w:tc>
        <w:tc>
          <w:tcPr/>
          <w:p>
            <w:pPr>
              <w:pStyle w:val="Compact"/>
              <w:jc w:val="left"/>
            </w:pPr>
            <w:r>
              <w:t xml:space="preserve">Victoria −4% to 9.7 Mt; SA stable at 9.1 Mt</w:t>
            </w:r>
          </w:p>
        </w:tc>
        <w:tc>
          <w:tcPr/>
          <w:p>
            <w:pPr>
              <w:pStyle w:val="Compact"/>
              <w:jc w:val="left"/>
            </w:pPr>
            <w:r>
              <w:t xml:space="preserve">“Winter crop production in Victoria is forecast to reach 9.7 million tonnes in 2026–27, down by 4% from 2025–26”</w:t>
            </w:r>
            <w:r>
              <w:t xml:space="preserve"> </w:t>
            </w:r>
            <w:r>
              <w:t xml:space="preserve">/</w:t>
            </w:r>
            <w:r>
              <w:t xml:space="preserve"> </w:t>
            </w:r>
            <w:r>
              <w:t xml:space="preserve">“Winter crop production in South Australia is forecast to remain stable at 9.1 million tonnes in 2026–27”</w:t>
            </w:r>
          </w:p>
        </w:tc>
        <w:tc>
          <w:tcPr/>
          <w:p>
            <w:pPr>
              <w:pStyle w:val="Compact"/>
              <w:jc w:val="left"/>
            </w:pPr>
            <w:r>
              <w:t xml:space="preserve">ABARES Crop Report June 2026</w:t>
            </w:r>
          </w:p>
        </w:tc>
        <w:tc>
          <w:tcPr/>
          <w:p>
            <w:pPr>
              <w:pStyle w:val="Compact"/>
              <w:jc w:val="left"/>
            </w:pPr>
            <w:r>
              <w:t xml:space="preserve">as C21</w:t>
            </w:r>
          </w:p>
        </w:tc>
        <w:tc>
          <w:tcPr/>
          <w:p>
            <w:pPr>
              <w:pStyle w:val="Compact"/>
              <w:jc w:val="left"/>
            </w:pPr>
            <w:r>
              <w:t xml:space="preserve">2026-08-01</w:t>
            </w:r>
          </w:p>
        </w:tc>
        <w:tc>
          <w:tcPr/>
          <w:p>
            <w:pPr>
              <w:pStyle w:val="Compact"/>
              <w:jc w:val="left"/>
            </w:pPr>
            <w:r>
              <w:t xml:space="preserve">1</w:t>
            </w:r>
          </w:p>
        </w:tc>
        <w:tc>
          <w:tcPr/>
          <w:p>
            <w:pPr>
              <w:pStyle w:val="Compact"/>
              <w:jc w:val="left"/>
            </w:pPr>
            <w:r>
              <w:t xml:space="preserve">A</w:t>
            </w:r>
          </w:p>
        </w:tc>
      </w:tr>
      <w:tr>
        <w:tc>
          <w:tcPr/>
          <w:p>
            <w:pPr>
              <w:pStyle w:val="Compact"/>
              <w:jc w:val="left"/>
            </w:pPr>
            <w:r>
              <w:t xml:space="preserve">C27</w:t>
            </w:r>
          </w:p>
        </w:tc>
        <w:tc>
          <w:tcPr/>
          <w:p>
            <w:pPr>
              <w:pStyle w:val="Compact"/>
              <w:jc w:val="left"/>
            </w:pPr>
            <w:r>
              <w:t xml:space="preserve">Northern NSW / southern Qld extremely dry to mid-May; below 20th percentile</w:t>
            </w:r>
          </w:p>
        </w:tc>
        <w:tc>
          <w:tcPr/>
          <w:p>
            <w:pPr>
              <w:pStyle w:val="Compact"/>
              <w:jc w:val="left"/>
            </w:pPr>
            <w:r>
              <w:t xml:space="preserve">“Extremely dry conditions across northern New South Wales and southern Queensland up until mid-May had resulted in very low soil moisture levels.”</w:t>
            </w:r>
            <w:r>
              <w:t xml:space="preserve"> </w:t>
            </w:r>
            <w:r>
              <w:t xml:space="preserve">/</w:t>
            </w:r>
            <w:r>
              <w:t xml:space="preserve"> </w:t>
            </w:r>
            <w:r>
              <w:t xml:space="preserve">“Rainfall across the Northwest, Northern Tablelands, Central West and northern parts of the Riverina around Griffith has been below the 20th percentile in the year to mid-May”</w:t>
            </w:r>
          </w:p>
        </w:tc>
        <w:tc>
          <w:tcPr/>
          <w:p>
            <w:pPr>
              <w:pStyle w:val="Compact"/>
              <w:jc w:val="left"/>
            </w:pPr>
            <w:r>
              <w:t xml:space="preserve">ABARES Crop Report June 2026</w:t>
            </w:r>
          </w:p>
        </w:tc>
        <w:tc>
          <w:tcPr/>
          <w:p>
            <w:pPr>
              <w:pStyle w:val="Compact"/>
              <w:jc w:val="left"/>
            </w:pPr>
            <w:r>
              <w:t xml:space="preserve">as C21</w:t>
            </w:r>
          </w:p>
        </w:tc>
        <w:tc>
          <w:tcPr/>
          <w:p>
            <w:pPr>
              <w:pStyle w:val="Compact"/>
              <w:jc w:val="left"/>
            </w:pPr>
            <w:r>
              <w:t xml:space="preserve">2026-08-01</w:t>
            </w:r>
          </w:p>
        </w:tc>
        <w:tc>
          <w:tcPr/>
          <w:p>
            <w:pPr>
              <w:pStyle w:val="Compact"/>
              <w:jc w:val="left"/>
            </w:pPr>
            <w:r>
              <w:t xml:space="preserve">1</w:t>
            </w:r>
          </w:p>
        </w:tc>
        <w:tc>
          <w:tcPr/>
          <w:p>
            <w:pPr>
              <w:pStyle w:val="Compact"/>
              <w:jc w:val="left"/>
            </w:pPr>
            <w:r>
              <w:t xml:space="preserve">A</w:t>
            </w:r>
          </w:p>
        </w:tc>
      </w:tr>
      <w:tr>
        <w:tc>
          <w:tcPr/>
          <w:p>
            <w:pPr>
              <w:pStyle w:val="Compact"/>
              <w:jc w:val="left"/>
            </w:pPr>
            <w:r>
              <w:t xml:space="preserve">C28</w:t>
            </w:r>
          </w:p>
        </w:tc>
        <w:tc>
          <w:tcPr/>
          <w:p>
            <w:pPr>
              <w:pStyle w:val="Compact"/>
              <w:jc w:val="left"/>
            </w:pPr>
            <w:r>
              <w:t xml:space="preserve">Southern cropping regions had average to very much above average Feb–Apr rain</w:t>
            </w:r>
          </w:p>
        </w:tc>
        <w:tc>
          <w:tcPr/>
          <w:p>
            <w:pPr>
              <w:pStyle w:val="Compact"/>
              <w:jc w:val="left"/>
            </w:pPr>
            <w:r>
              <w:t xml:space="preserve">“average to very much above average February to April rainfall across major cropping regions of southern Western Australia, South Australia and Victoria has incentivised growers to go ahead with winter cropping programs”</w:t>
            </w:r>
          </w:p>
        </w:tc>
        <w:tc>
          <w:tcPr/>
          <w:p>
            <w:pPr>
              <w:pStyle w:val="Compact"/>
              <w:jc w:val="left"/>
            </w:pPr>
            <w:r>
              <w:t xml:space="preserve">ABARES Crop Report June 2026</w:t>
            </w:r>
          </w:p>
        </w:tc>
        <w:tc>
          <w:tcPr/>
          <w:p>
            <w:pPr>
              <w:pStyle w:val="Compact"/>
              <w:jc w:val="left"/>
            </w:pPr>
            <w:r>
              <w:t xml:space="preserve">as C21</w:t>
            </w:r>
          </w:p>
        </w:tc>
        <w:tc>
          <w:tcPr/>
          <w:p>
            <w:pPr>
              <w:pStyle w:val="Compact"/>
              <w:jc w:val="left"/>
            </w:pPr>
            <w:r>
              <w:t xml:space="preserve">2026-08-01</w:t>
            </w:r>
          </w:p>
        </w:tc>
        <w:tc>
          <w:tcPr/>
          <w:p>
            <w:pPr>
              <w:pStyle w:val="Compact"/>
              <w:jc w:val="left"/>
            </w:pPr>
            <w:r>
              <w:t xml:space="preserve">1</w:t>
            </w:r>
          </w:p>
        </w:tc>
        <w:tc>
          <w:tcPr/>
          <w:p>
            <w:pPr>
              <w:pStyle w:val="Compact"/>
              <w:jc w:val="left"/>
            </w:pPr>
            <w:r>
              <w:t xml:space="preserve">A</w:t>
            </w:r>
          </w:p>
        </w:tc>
      </w:tr>
      <w:tr>
        <w:tc>
          <w:tcPr/>
          <w:p>
            <w:pPr>
              <w:pStyle w:val="Compact"/>
              <w:jc w:val="left"/>
            </w:pPr>
            <w:r>
              <w:t xml:space="preserve">C29</w:t>
            </w:r>
          </w:p>
        </w:tc>
        <w:tc>
          <w:tcPr/>
          <w:p>
            <w:pPr>
              <w:pStyle w:val="Compact"/>
              <w:jc w:val="left"/>
            </w:pPr>
            <w:r>
              <w:t xml:space="preserve">ABARES forecast built on the BoM outlook issued 21 May 2026 (60–80% chance of below-average winter rain)</w:t>
            </w:r>
          </w:p>
        </w:tc>
        <w:tc>
          <w:tcPr/>
          <w:p>
            <w:pPr>
              <w:pStyle w:val="Compact"/>
              <w:jc w:val="left"/>
            </w:pPr>
            <w:r>
              <w:t xml:space="preserve">“According to the three-month outlook (June to August), issued by the Bureau of Meteorology on 21 May 2026, there is a 60% to 80% chance that winter rainfall will be below average across cropping regions in Queensland, New South Wales, Victoria, South Australia and Western Australia.”</w:t>
            </w:r>
          </w:p>
        </w:tc>
        <w:tc>
          <w:tcPr/>
          <w:p>
            <w:pPr>
              <w:pStyle w:val="Compact"/>
              <w:jc w:val="left"/>
            </w:pPr>
            <w:r>
              <w:t xml:space="preserve">ABARES Crop Report June 2026</w:t>
            </w:r>
          </w:p>
        </w:tc>
        <w:tc>
          <w:tcPr/>
          <w:p>
            <w:pPr>
              <w:pStyle w:val="Compact"/>
              <w:jc w:val="left"/>
            </w:pPr>
            <w:r>
              <w:t xml:space="preserve">as C21</w:t>
            </w:r>
          </w:p>
        </w:tc>
        <w:tc>
          <w:tcPr/>
          <w:p>
            <w:pPr>
              <w:pStyle w:val="Compact"/>
              <w:jc w:val="left"/>
            </w:pPr>
            <w:r>
              <w:t xml:space="preserve">2026-08-01</w:t>
            </w:r>
          </w:p>
        </w:tc>
        <w:tc>
          <w:tcPr/>
          <w:p>
            <w:pPr>
              <w:pStyle w:val="Compact"/>
              <w:jc w:val="left"/>
            </w:pPr>
            <w:r>
              <w:t xml:space="preserve">1</w:t>
            </w:r>
          </w:p>
        </w:tc>
        <w:tc>
          <w:tcPr/>
          <w:p>
            <w:pPr>
              <w:pStyle w:val="Compact"/>
              <w:jc w:val="left"/>
            </w:pPr>
            <w:r>
              <w:t xml:space="preserve">A</w:t>
            </w:r>
          </w:p>
        </w:tc>
      </w:tr>
      <w:tr>
        <w:tc>
          <w:tcPr/>
          <w:p>
            <w:pPr>
              <w:pStyle w:val="Compact"/>
              <w:jc w:val="left"/>
            </w:pPr>
            <w:r>
              <w:t xml:space="preserve">C30</w:t>
            </w:r>
          </w:p>
        </w:tc>
        <w:tc>
          <w:tcPr/>
          <w:p>
            <w:pPr>
              <w:pStyle w:val="Compact"/>
              <w:jc w:val="left"/>
            </w:pPr>
            <w:r>
              <w:t xml:space="preserve">ABARES noted only an</w:t>
            </w:r>
            <w:r>
              <w:t xml:space="preserve"> </w:t>
            </w:r>
            <w:r>
              <w:t xml:space="preserve">“increasing chance”</w:t>
            </w:r>
            <w:r>
              <w:t xml:space="preserve"> </w:t>
            </w:r>
            <w:r>
              <w:t xml:space="preserve">of El Niño/pIOD at time of writing</w:t>
            </w:r>
          </w:p>
        </w:tc>
        <w:tc>
          <w:tcPr/>
          <w:p>
            <w:pPr>
              <w:pStyle w:val="Compact"/>
              <w:jc w:val="left"/>
            </w:pPr>
            <w:r>
              <w:t xml:space="preserve">“there is below-average winter rainfall forecast and an increasing chance of an El Nino and/or positive IOD event emerging throughout 2026”</w:t>
            </w:r>
          </w:p>
        </w:tc>
        <w:tc>
          <w:tcPr/>
          <w:p>
            <w:pPr>
              <w:pStyle w:val="Compact"/>
              <w:jc w:val="left"/>
            </w:pPr>
            <w:r>
              <w:t xml:space="preserve">ABARES Crop Report June 2026</w:t>
            </w:r>
          </w:p>
        </w:tc>
        <w:tc>
          <w:tcPr/>
          <w:p>
            <w:pPr>
              <w:pStyle w:val="Compact"/>
              <w:jc w:val="left"/>
            </w:pPr>
            <w:r>
              <w:t xml:space="preserve">as C21</w:t>
            </w:r>
          </w:p>
        </w:tc>
        <w:tc>
          <w:tcPr/>
          <w:p>
            <w:pPr>
              <w:pStyle w:val="Compact"/>
              <w:jc w:val="left"/>
            </w:pPr>
            <w:r>
              <w:t xml:space="preserve">2026-08-01</w:t>
            </w:r>
          </w:p>
        </w:tc>
        <w:tc>
          <w:tcPr/>
          <w:p>
            <w:pPr>
              <w:pStyle w:val="Compact"/>
              <w:jc w:val="left"/>
            </w:pPr>
            <w:r>
              <w:t xml:space="preserve">1</w:t>
            </w:r>
          </w:p>
        </w:tc>
        <w:tc>
          <w:tcPr/>
          <w:p>
            <w:pPr>
              <w:pStyle w:val="Compact"/>
              <w:jc w:val="left"/>
            </w:pPr>
            <w:r>
              <w:t xml:space="preserve">A</w:t>
            </w:r>
          </w:p>
        </w:tc>
      </w:tr>
      <w:tr>
        <w:tc>
          <w:tcPr/>
          <w:p>
            <w:pPr>
              <w:pStyle w:val="Compact"/>
              <w:jc w:val="left"/>
            </w:pPr>
            <w:r>
              <w:t xml:space="preserve">C31</w:t>
            </w:r>
          </w:p>
        </w:tc>
        <w:tc>
          <w:tcPr/>
          <w:p>
            <w:pPr>
              <w:pStyle w:val="Compact"/>
              <w:jc w:val="left"/>
            </w:pPr>
            <w:r>
              <w:t xml:space="preserve">Wheat area −12% to 10.9 Mha, smallest since 2019–20</w:t>
            </w:r>
          </w:p>
        </w:tc>
        <w:tc>
          <w:tcPr/>
          <w:p>
            <w:pPr>
              <w:pStyle w:val="Compact"/>
              <w:jc w:val="left"/>
            </w:pPr>
            <w:r>
              <w:t xml:space="preserve">“Area planted to wheat is forecast to fall by 12% to 10.9 million hectares, the smallest area planted since 2019–20”</w:t>
            </w:r>
          </w:p>
        </w:tc>
        <w:tc>
          <w:tcPr/>
          <w:p>
            <w:pPr>
              <w:pStyle w:val="Compact"/>
              <w:jc w:val="left"/>
            </w:pPr>
            <w:r>
              <w:t xml:space="preserve">ABARES Crop Report June 2026</w:t>
            </w:r>
          </w:p>
        </w:tc>
        <w:tc>
          <w:tcPr/>
          <w:p>
            <w:pPr>
              <w:pStyle w:val="Compact"/>
              <w:jc w:val="left"/>
            </w:pPr>
            <w:r>
              <w:t xml:space="preserve">as C21</w:t>
            </w:r>
          </w:p>
        </w:tc>
        <w:tc>
          <w:tcPr/>
          <w:p>
            <w:pPr>
              <w:pStyle w:val="Compact"/>
              <w:jc w:val="left"/>
            </w:pPr>
            <w:r>
              <w:t xml:space="preserve">2026-08-01</w:t>
            </w:r>
          </w:p>
        </w:tc>
        <w:tc>
          <w:tcPr/>
          <w:p>
            <w:pPr>
              <w:pStyle w:val="Compact"/>
              <w:jc w:val="left"/>
            </w:pPr>
            <w:r>
              <w:t xml:space="preserve">1</w:t>
            </w:r>
          </w:p>
        </w:tc>
        <w:tc>
          <w:tcPr/>
          <w:p>
            <w:pPr>
              <w:pStyle w:val="Compact"/>
              <w:jc w:val="left"/>
            </w:pPr>
            <w:r>
              <w:t xml:space="preserve">B</w:t>
            </w:r>
          </w:p>
        </w:tc>
      </w:tr>
      <w:tr>
        <w:tc>
          <w:tcPr/>
          <w:p>
            <w:pPr>
              <w:pStyle w:val="Compact"/>
              <w:jc w:val="left"/>
            </w:pPr>
            <w:r>
              <w:t xml:space="preserve">C32</w:t>
            </w:r>
          </w:p>
        </w:tc>
        <w:tc>
          <w:tcPr/>
          <w:p>
            <w:pPr>
              <w:pStyle w:val="Compact"/>
              <w:jc w:val="left"/>
            </w:pPr>
            <w:r>
              <w:t xml:space="preserve">2002–03: farm GDP −24.8%, ~0.9pp off GDP growth</w:t>
            </w:r>
          </w:p>
        </w:tc>
        <w:tc>
          <w:tcPr/>
          <w:p>
            <w:pPr>
              <w:pStyle w:val="Compact"/>
              <w:jc w:val="left"/>
            </w:pPr>
            <w:r>
              <w:t xml:space="preserve">“Farm Gross Domestic Product fell by 24.8 percent, directly subtracting 0.9 of a percentage point from overall GDP growth”</w:t>
            </w:r>
          </w:p>
        </w:tc>
        <w:tc>
          <w:tcPr/>
          <w:p>
            <w:pPr>
              <w:pStyle w:val="Compact"/>
              <w:jc w:val="left"/>
            </w:pPr>
            <w:r>
              <w:t xml:space="preserve">Australian Treasury, Economic Roundup Autumn 2004</w:t>
            </w:r>
          </w:p>
        </w:tc>
        <w:tc>
          <w:tcPr/>
          <w:p>
            <w:pPr>
              <w:pStyle w:val="Compact"/>
              <w:jc w:val="left"/>
            </w:pPr>
            <w:r>
              <w:t xml:space="preserve">https://treasury.gov.au/publication/economic-roundup-autumn-2004/the-impact-of-the-2002-drought-on-the-economy-and-agricultural-employment</w:t>
            </w:r>
          </w:p>
        </w:tc>
        <w:tc>
          <w:tcPr/>
          <w:p>
            <w:pPr>
              <w:pStyle w:val="Compact"/>
              <w:jc w:val="left"/>
            </w:pPr>
            <w:r>
              <w:t xml:space="preserve">2026-08-01</w:t>
            </w:r>
          </w:p>
        </w:tc>
        <w:tc>
          <w:tcPr/>
          <w:p>
            <w:pPr>
              <w:pStyle w:val="Compact"/>
              <w:jc w:val="left"/>
            </w:pPr>
            <w:r>
              <w:t xml:space="preserve">1</w:t>
            </w:r>
          </w:p>
        </w:tc>
        <w:tc>
          <w:tcPr/>
          <w:p>
            <w:pPr>
              <w:pStyle w:val="Compact"/>
              <w:jc w:val="left"/>
            </w:pPr>
            <w:r>
              <w:t xml:space="preserve">A</w:t>
            </w:r>
          </w:p>
        </w:tc>
      </w:tr>
      <w:tr>
        <w:tc>
          <w:tcPr/>
          <w:p>
            <w:pPr>
              <w:pStyle w:val="Compact"/>
              <w:jc w:val="left"/>
            </w:pPr>
            <w:r>
              <w:t xml:space="preserve">C33</w:t>
            </w:r>
          </w:p>
        </w:tc>
        <w:tc>
          <w:tcPr/>
          <w:p>
            <w:pPr>
              <w:pStyle w:val="Compact"/>
              <w:jc w:val="left"/>
            </w:pPr>
            <w:r>
              <w:t xml:space="preserve">2006–07: wheat, barley, canola down &gt;60%; growth impact 0.5–0.75pp</w:t>
            </w:r>
          </w:p>
        </w:tc>
        <w:tc>
          <w:tcPr/>
          <w:p>
            <w:pPr>
              <w:pStyle w:val="Compact"/>
              <w:jc w:val="left"/>
            </w:pPr>
            <w:r>
              <w:t xml:space="preserve">“The nation’s wheat, barley and canola production were expected to fall by over 60% in 2006-07”</w:t>
            </w:r>
            <w:r>
              <w:t xml:space="preserve"> </w:t>
            </w:r>
            <w:r>
              <w:t xml:space="preserve">/</w:t>
            </w:r>
            <w:r>
              <w:t xml:space="preserve"> </w:t>
            </w:r>
            <w:r>
              <w:t xml:space="preserve">“believed to contract economic growth in the country by 0.75 percentage points”</w:t>
            </w:r>
          </w:p>
        </w:tc>
        <w:tc>
          <w:tcPr/>
          <w:p>
            <w:pPr>
              <w:pStyle w:val="Compact"/>
              <w:jc w:val="left"/>
            </w:pPr>
            <w:r>
              <w:t xml:space="preserve">Secondary reporting of ABARE/ABS estimates</w:t>
            </w:r>
          </w:p>
        </w:tc>
        <w:tc>
          <w:tcPr/>
          <w:p>
            <w:pPr>
              <w:pStyle w:val="Compact"/>
              <w:jc w:val="left"/>
            </w:pPr>
            <w:r>
              <w:t xml:space="preserve">—</w:t>
            </w:r>
          </w:p>
        </w:tc>
        <w:tc>
          <w:tcPr/>
          <w:p>
            <w:pPr>
              <w:pStyle w:val="Compact"/>
              <w:jc w:val="left"/>
            </w:pPr>
            <w:r>
              <w:t xml:space="preserve">2026-08-01</w:t>
            </w:r>
          </w:p>
        </w:tc>
        <w:tc>
          <w:tcPr/>
          <w:p>
            <w:pPr>
              <w:pStyle w:val="Compact"/>
              <w:jc w:val="left"/>
            </w:pPr>
            <w:r>
              <w:t xml:space="preserve">3</w:t>
            </w:r>
          </w:p>
        </w:tc>
        <w:tc>
          <w:tcPr/>
          <w:p>
            <w:pPr>
              <w:pStyle w:val="Compact"/>
              <w:jc w:val="left"/>
            </w:pPr>
            <w:r>
              <w:t xml:space="preserve">B</w:t>
            </w:r>
          </w:p>
        </w:tc>
      </w:tr>
      <w:tr>
        <w:tc>
          <w:tcPr/>
          <w:p>
            <w:pPr>
              <w:pStyle w:val="Compact"/>
              <w:jc w:val="left"/>
            </w:pPr>
            <w:r>
              <w:t xml:space="preserve">C34</w:t>
            </w:r>
          </w:p>
        </w:tc>
        <w:tc>
          <w:tcPr/>
          <w:p>
            <w:pPr>
              <w:pStyle w:val="Compact"/>
              <w:jc w:val="left"/>
            </w:pPr>
            <w:r>
              <w:t xml:space="preserve">Black Summer: 33 direct deaths, ~417 smoke-attributable deaths, &gt;3,000 homes, ~24 Mha</w:t>
            </w:r>
          </w:p>
        </w:tc>
        <w:tc>
          <w:tcPr/>
          <w:p>
            <w:pPr>
              <w:pStyle w:val="Compact"/>
              <w:jc w:val="left"/>
            </w:pPr>
            <w:r>
              <w:t xml:space="preserve">“As many as 417 people died from bush fire smoke-induced health impacts and thousands more hospitalized”</w:t>
            </w:r>
          </w:p>
        </w:tc>
        <w:tc>
          <w:tcPr/>
          <w:p>
            <w:pPr>
              <w:pStyle w:val="Compact"/>
              <w:jc w:val="left"/>
            </w:pPr>
            <w:r>
              <w:t xml:space="preserve">Grattan Institute submission to the Royal Commission</w:t>
            </w:r>
          </w:p>
        </w:tc>
        <w:tc>
          <w:tcPr/>
          <w:p>
            <w:pPr>
              <w:pStyle w:val="Compact"/>
              <w:jc w:val="left"/>
            </w:pPr>
            <w:r>
              <w:t xml:space="preserve">https://grattan.edu.au/wp-content/uploads/2020/04/Grattan-Institute-submission-to-Royal-Commission.pdf</w:t>
            </w:r>
          </w:p>
        </w:tc>
        <w:tc>
          <w:tcPr/>
          <w:p>
            <w:pPr>
              <w:pStyle w:val="Compact"/>
              <w:jc w:val="left"/>
            </w:pPr>
            <w:r>
              <w:t xml:space="preserve">2026-08-01</w:t>
            </w:r>
          </w:p>
        </w:tc>
        <w:tc>
          <w:tcPr/>
          <w:p>
            <w:pPr>
              <w:pStyle w:val="Compact"/>
              <w:jc w:val="left"/>
            </w:pPr>
            <w:r>
              <w:t xml:space="preserve">2</w:t>
            </w:r>
          </w:p>
        </w:tc>
        <w:tc>
          <w:tcPr/>
          <w:p>
            <w:pPr>
              <w:pStyle w:val="Compact"/>
              <w:jc w:val="left"/>
            </w:pPr>
            <w:r>
              <w:t xml:space="preserve">A</w:t>
            </w:r>
          </w:p>
        </w:tc>
      </w:tr>
      <w:tr>
        <w:tc>
          <w:tcPr/>
          <w:p>
            <w:pPr>
              <w:pStyle w:val="Compact"/>
              <w:jc w:val="left"/>
            </w:pPr>
            <w:r>
              <w:t xml:space="preserve">C35</w:t>
            </w:r>
          </w:p>
        </w:tc>
        <w:tc>
          <w:tcPr/>
          <w:p>
            <w:pPr>
              <w:pStyle w:val="Compact"/>
              <w:jc w:val="left"/>
            </w:pPr>
            <w:r>
              <w:t xml:space="preserve">Monsoon onset 2–6 weeks later in El Niño years; fewer cyclones, later first crossing</w:t>
            </w:r>
          </w:p>
        </w:tc>
        <w:tc>
          <w:tcPr/>
          <w:p>
            <w:pPr>
              <w:pStyle w:val="Compact"/>
              <w:jc w:val="left"/>
            </w:pPr>
            <w:r>
              <w:t xml:space="preserve">“the date of the monsoon onset in tropical Australia is generally 2–6 weeks later during El Niño years than in La Niña years”</w:t>
            </w:r>
            <w:r>
              <w:t xml:space="preserve"> </w:t>
            </w:r>
            <w:r>
              <w:t xml:space="preserve">/</w:t>
            </w:r>
            <w:r>
              <w:t xml:space="preserve"> </w:t>
            </w:r>
            <w:r>
              <w:t xml:space="preserve">“during El Niño, the number of tropical cyclones is often below average, and the first coastal crossing can occur as late as mid-January”</w:t>
            </w:r>
          </w:p>
        </w:tc>
        <w:tc>
          <w:tcPr/>
          <w:p>
            <w:pPr>
              <w:pStyle w:val="Compact"/>
              <w:jc w:val="left"/>
            </w:pPr>
            <w:r>
              <w:t xml:space="preserve">BoM, What is El Niño and what might it mean for Australia?</w:t>
            </w:r>
          </w:p>
        </w:tc>
        <w:tc>
          <w:tcPr/>
          <w:p>
            <w:pPr>
              <w:pStyle w:val="Compact"/>
              <w:jc w:val="left"/>
            </w:pPr>
            <w:r>
              <w:t xml:space="preserve">https://www.bom.gov.au/climate/updates/articles/a008-el-nino-and-australia.shtml</w:t>
            </w:r>
          </w:p>
        </w:tc>
        <w:tc>
          <w:tcPr/>
          <w:p>
            <w:pPr>
              <w:pStyle w:val="Compact"/>
              <w:jc w:val="left"/>
            </w:pPr>
            <w:r>
              <w:t xml:space="preserve">2026-08-01</w:t>
            </w:r>
          </w:p>
        </w:tc>
        <w:tc>
          <w:tcPr/>
          <w:p>
            <w:pPr>
              <w:pStyle w:val="Compact"/>
              <w:jc w:val="left"/>
            </w:pPr>
            <w:r>
              <w:t xml:space="preserve">1</w:t>
            </w:r>
          </w:p>
        </w:tc>
        <w:tc>
          <w:tcPr/>
          <w:p>
            <w:pPr>
              <w:pStyle w:val="Compact"/>
              <w:jc w:val="left"/>
            </w:pPr>
            <w:r>
              <w:t xml:space="preserve">A</w:t>
            </w:r>
          </w:p>
        </w:tc>
      </w:tr>
      <w:tr>
        <w:tc>
          <w:tcPr/>
          <w:p>
            <w:pPr>
              <w:pStyle w:val="Compact"/>
              <w:jc w:val="left"/>
            </w:pPr>
            <w:r>
              <w:t xml:space="preserve">C36</w:t>
            </w:r>
          </w:p>
        </w:tc>
        <w:tc>
          <w:tcPr/>
          <w:p>
            <w:pPr>
              <w:pStyle w:val="Compact"/>
              <w:jc w:val="left"/>
            </w:pPr>
            <w:r>
              <w:t xml:space="preserve">SAM: positive phase drier southern Australia in winter, wetter east coast in summer</w:t>
            </w:r>
          </w:p>
        </w:tc>
        <w:tc>
          <w:tcPr/>
          <w:p>
            <w:pPr>
              <w:pStyle w:val="Compact"/>
              <w:jc w:val="left"/>
            </w:pPr>
            <w:r>
              <w:t xml:space="preserve">“During a positive SAM phase, there is higher chance of southern Australia experiencing dry conditions in winter, and a possibility for increased rainfall along the east coast in winter and summer.”</w:t>
            </w:r>
          </w:p>
        </w:tc>
        <w:tc>
          <w:tcPr/>
          <w:p>
            <w:pPr>
              <w:pStyle w:val="Compact"/>
              <w:jc w:val="left"/>
            </w:pPr>
            <w:r>
              <w:t xml:space="preserve">BoM, Southern Annular Mode</w:t>
            </w:r>
          </w:p>
        </w:tc>
        <w:tc>
          <w:tcPr/>
          <w:p>
            <w:pPr>
              <w:pStyle w:val="Compact"/>
              <w:jc w:val="left"/>
            </w:pPr>
            <w:r>
              <w:t xml:space="preserve">https://www.bom.gov.au/climate/sam/</w:t>
            </w:r>
          </w:p>
        </w:tc>
        <w:tc>
          <w:tcPr/>
          <w:p>
            <w:pPr>
              <w:pStyle w:val="Compact"/>
              <w:jc w:val="left"/>
            </w:pPr>
            <w:r>
              <w:t xml:space="preserve">2026-08-01</w:t>
            </w:r>
          </w:p>
        </w:tc>
        <w:tc>
          <w:tcPr/>
          <w:p>
            <w:pPr>
              <w:pStyle w:val="Compact"/>
              <w:jc w:val="left"/>
            </w:pPr>
            <w:r>
              <w:t xml:space="preserve">1</w:t>
            </w:r>
          </w:p>
        </w:tc>
        <w:tc>
          <w:tcPr/>
          <w:p>
            <w:pPr>
              <w:pStyle w:val="Compact"/>
              <w:jc w:val="left"/>
            </w:pPr>
            <w:r>
              <w:t xml:space="preserve">A</w:t>
            </w:r>
          </w:p>
        </w:tc>
      </w:tr>
      <w:tr>
        <w:tc>
          <w:tcPr/>
          <w:p>
            <w:pPr>
              <w:pStyle w:val="Compact"/>
              <w:jc w:val="left"/>
            </w:pPr>
            <w:r>
              <w:t xml:space="preserve">C37</w:t>
            </w:r>
          </w:p>
        </w:tc>
        <w:tc>
          <w:tcPr/>
          <w:p>
            <w:pPr>
              <w:pStyle w:val="Compact"/>
              <w:jc w:val="left"/>
            </w:pPr>
            <w:r>
              <w:t xml:space="preserve">2015–16 El Niño triggered the worst GBR bleaching recorded at that time</w:t>
            </w:r>
          </w:p>
        </w:tc>
        <w:tc>
          <w:tcPr/>
          <w:p>
            <w:pPr>
              <w:pStyle w:val="Compact"/>
              <w:jc w:val="left"/>
            </w:pPr>
            <w:r>
              <w:t xml:space="preserve">“In 2015/16, unusually high ocean temperatures associated with one of the strongest El Niño events on record triggered an unprecedented global coral reef crisis, initiating what would become the third documented global mass bleaching event.”</w:t>
            </w:r>
          </w:p>
        </w:tc>
        <w:tc>
          <w:tcPr/>
          <w:p>
            <w:pPr>
              <w:pStyle w:val="Compact"/>
              <w:jc w:val="left"/>
            </w:pPr>
            <w:r>
              <w:t xml:space="preserve">AIMS, coral bleaching events</w:t>
            </w:r>
          </w:p>
        </w:tc>
        <w:tc>
          <w:tcPr/>
          <w:p>
            <w:pPr>
              <w:pStyle w:val="Compact"/>
              <w:jc w:val="left"/>
            </w:pPr>
            <w:r>
              <w:t xml:space="preserve">https://www.aims.gov.au/research-topics/environmental-issues/coral-bleaching/coral-bleaching-events</w:t>
            </w:r>
          </w:p>
        </w:tc>
        <w:tc>
          <w:tcPr/>
          <w:p>
            <w:pPr>
              <w:pStyle w:val="Compact"/>
              <w:jc w:val="left"/>
            </w:pPr>
            <w:r>
              <w:t xml:space="preserve">2026-08-01</w:t>
            </w:r>
          </w:p>
        </w:tc>
        <w:tc>
          <w:tcPr/>
          <w:p>
            <w:pPr>
              <w:pStyle w:val="Compact"/>
              <w:jc w:val="left"/>
            </w:pPr>
            <w:r>
              <w:t xml:space="preserve">2</w:t>
            </w:r>
          </w:p>
        </w:tc>
        <w:tc>
          <w:tcPr/>
          <w:p>
            <w:pPr>
              <w:pStyle w:val="Compact"/>
              <w:jc w:val="left"/>
            </w:pPr>
            <w:r>
              <w:t xml:space="preserve">B</w:t>
            </w:r>
          </w:p>
        </w:tc>
      </w:tr>
      <w:tr>
        <w:tc>
          <w:tcPr/>
          <w:p>
            <w:pPr>
              <w:pStyle w:val="Compact"/>
              <w:jc w:val="left"/>
            </w:pPr>
            <w:r>
              <w:t xml:space="preserve">C38</w:t>
            </w:r>
          </w:p>
        </w:tc>
        <w:tc>
          <w:tcPr/>
          <w:p>
            <w:pPr>
              <w:pStyle w:val="Compact"/>
              <w:jc w:val="left"/>
            </w:pPr>
            <w:r>
              <w:t xml:space="preserve">AFAC Winter 2026 outlook: increased risk in northern Great Sandy Desert (WA) and central/northern NSW</w:t>
            </w:r>
          </w:p>
        </w:tc>
        <w:tc>
          <w:tcPr/>
          <w:p>
            <w:pPr>
              <w:pStyle w:val="Compact"/>
              <w:jc w:val="left"/>
            </w:pPr>
            <w:r>
              <w:t xml:space="preserve">“AFAC predicted an increased risk of fire across the northern parts of the Great Sandy Desert and surrounds in Western Australia, and parts of central and northern New South Wales”</w:t>
            </w:r>
          </w:p>
        </w:tc>
        <w:tc>
          <w:tcPr/>
          <w:p>
            <w:pPr>
              <w:pStyle w:val="Compact"/>
              <w:jc w:val="left"/>
            </w:pPr>
            <w:r>
              <w:t xml:space="preserve">AFAC Seasonal Bushfire Outlook Winter 2026</w:t>
            </w:r>
          </w:p>
        </w:tc>
        <w:tc>
          <w:tcPr/>
          <w:p>
            <w:pPr>
              <w:pStyle w:val="Compact"/>
              <w:jc w:val="left"/>
            </w:pPr>
            <w:r>
              <w:t xml:space="preserve">https://www.afac.com.au/public-resources/seasonal-bushfire-outlook-winter-2026</w:t>
            </w:r>
          </w:p>
        </w:tc>
        <w:tc>
          <w:tcPr/>
          <w:p>
            <w:pPr>
              <w:pStyle w:val="Compact"/>
              <w:jc w:val="left"/>
            </w:pPr>
            <w:r>
              <w:t xml:space="preserve">2026-08-01</w:t>
            </w:r>
          </w:p>
        </w:tc>
        <w:tc>
          <w:tcPr/>
          <w:p>
            <w:pPr>
              <w:pStyle w:val="Compact"/>
              <w:jc w:val="left"/>
            </w:pPr>
            <w:r>
              <w:t xml:space="preserve">2</w:t>
            </w:r>
          </w:p>
        </w:tc>
        <w:tc>
          <w:tcPr/>
          <w:p>
            <w:pPr>
              <w:pStyle w:val="Compact"/>
              <w:jc w:val="left"/>
            </w:pPr>
            <w:r>
              <w:t xml:space="preserve">B</w:t>
            </w:r>
          </w:p>
        </w:tc>
      </w:tr>
      <w:tr>
        <w:tc>
          <w:tcPr/>
          <w:p>
            <w:pPr>
              <w:pStyle w:val="Compact"/>
              <w:jc w:val="left"/>
            </w:pPr>
            <w:r>
              <w:t xml:space="preserve">C39</w:t>
            </w:r>
          </w:p>
        </w:tc>
        <w:tc>
          <w:tcPr/>
          <w:p>
            <w:pPr>
              <w:pStyle w:val="Compact"/>
              <w:jc w:val="left"/>
            </w:pPr>
            <w:r>
              <w:t xml:space="preserve">Menindee 33%, Blowering 25%, Wyangala 61%; SA opening allocation projection 62%</w:t>
            </w:r>
          </w:p>
        </w:tc>
        <w:tc>
          <w:tcPr/>
          <w:p>
            <w:pPr>
              <w:pStyle w:val="Compact"/>
              <w:jc w:val="left"/>
            </w:pPr>
            <w:r>
              <w:t xml:space="preserve">“The Menindee Lakes system … is at 33 per cent and falling. Blowering Dam … is at 25 per cent. Wyangala Dam … is steady at 61 per cent.”</w:t>
            </w:r>
            <w:r>
              <w:t xml:space="preserve"> </w:t>
            </w:r>
            <w:r>
              <w:t xml:space="preserve">/</w:t>
            </w:r>
            <w:r>
              <w:t xml:space="preserve"> </w:t>
            </w:r>
            <w:r>
              <w:t xml:space="preserve">“The projected opening allocation of 62 per cent assumes South Australia will receive 1,246 gigalitres”</w:t>
            </w:r>
          </w:p>
        </w:tc>
        <w:tc>
          <w:tcPr/>
          <w:p>
            <w:pPr>
              <w:pStyle w:val="Compact"/>
              <w:jc w:val="left"/>
            </w:pPr>
            <w:r>
              <w:t xml:space="preserve">Australian Rural &amp; Regional News, 25 May 2026</w:t>
            </w:r>
          </w:p>
        </w:tc>
        <w:tc>
          <w:tcPr/>
          <w:p>
            <w:pPr>
              <w:pStyle w:val="Compact"/>
              <w:jc w:val="left"/>
            </w:pPr>
            <w:r>
              <w:t xml:space="preserve">https://arr.news/2026/05/25/murray-darling-water-allocations-where-things-stand-heading-into-winter-2026/</w:t>
            </w:r>
          </w:p>
        </w:tc>
        <w:tc>
          <w:tcPr/>
          <w:p>
            <w:pPr>
              <w:pStyle w:val="Compact"/>
              <w:jc w:val="left"/>
            </w:pPr>
            <w:r>
              <w:t xml:space="preserve">2026-08-01</w:t>
            </w:r>
          </w:p>
        </w:tc>
        <w:tc>
          <w:tcPr/>
          <w:p>
            <w:pPr>
              <w:pStyle w:val="Compact"/>
              <w:jc w:val="left"/>
            </w:pPr>
            <w:r>
              <w:t xml:space="preserve">3</w:t>
            </w:r>
          </w:p>
        </w:tc>
        <w:tc>
          <w:tcPr/>
          <w:p>
            <w:pPr>
              <w:pStyle w:val="Compact"/>
              <w:jc w:val="left"/>
            </w:pPr>
            <w:r>
              <w:t xml:space="preserve">B</w:t>
            </w:r>
          </w:p>
        </w:tc>
      </w:tr>
      <w:tr>
        <w:tc>
          <w:tcPr/>
          <w:p>
            <w:pPr>
              <w:pStyle w:val="Compact"/>
              <w:jc w:val="left"/>
            </w:pPr>
            <w:r>
              <w:t xml:space="preserve">C40</w:t>
            </w:r>
          </w:p>
        </w:tc>
        <w:tc>
          <w:tcPr/>
          <w:p>
            <w:pPr>
              <w:pStyle w:val="Compact"/>
              <w:jc w:val="left"/>
            </w:pPr>
            <w:r>
              <w:t xml:space="preserve">CP (Modoki) events historically drier for eastern Australia per unit Niño 3.4</w:t>
            </w:r>
          </w:p>
        </w:tc>
        <w:tc>
          <w:tcPr/>
          <w:p>
            <w:pPr>
              <w:pStyle w:val="Compact"/>
              <w:jc w:val="left"/>
            </w:pPr>
            <w:r>
              <w:t xml:space="preserve">Established finding in the cited literature; note relies on the papers’ central result rather than a single quoted sentence</w:t>
            </w:r>
          </w:p>
        </w:tc>
        <w:tc>
          <w:tcPr/>
          <w:p>
            <w:pPr>
              <w:pStyle w:val="Compact"/>
              <w:jc w:val="left"/>
            </w:pPr>
            <w:r>
              <w:t xml:space="preserve">Wang &amp; Hendon (2007) J. Climate 20:4211; Taschetto &amp; England (2009) J. Climate 22:3167</w:t>
            </w:r>
          </w:p>
        </w:tc>
        <w:tc>
          <w:tcPr/>
          <w:p>
            <w:pPr>
              <w:pStyle w:val="Compact"/>
              <w:jc w:val="left"/>
            </w:pPr>
            <w:r>
              <w:t xml:space="preserve">doi:10.1175/JCLI4228.1; doi:10.1175/2008JCLI2589.1</w:t>
            </w:r>
          </w:p>
        </w:tc>
        <w:tc>
          <w:tcPr/>
          <w:p>
            <w:pPr>
              <w:pStyle w:val="Compact"/>
              <w:jc w:val="left"/>
            </w:pPr>
            <w:r>
              <w:t xml:space="preserve">2026-08-01</w:t>
            </w:r>
          </w:p>
        </w:tc>
        <w:tc>
          <w:tcPr/>
          <w:p>
            <w:pPr>
              <w:pStyle w:val="Compact"/>
              <w:jc w:val="left"/>
            </w:pPr>
            <w:r>
              <w:t xml:space="preserve">2</w:t>
            </w:r>
          </w:p>
        </w:tc>
        <w:tc>
          <w:tcPr/>
          <w:p>
            <w:pPr>
              <w:pStyle w:val="Compact"/>
              <w:jc w:val="left"/>
            </w:pPr>
            <w:r>
              <w:t xml:space="preserve">B</w:t>
            </w:r>
          </w:p>
        </w:tc>
      </w:tr>
    </w:tbl>
    <w:p>
      <w:r>
        <w:pict>
          <v:rect style="width:0;height:1.5pt" o:hralign="center" o:hrstd="t" o:hr="t"/>
        </w:pict>
      </w:r>
    </w:p>
    <w:bookmarkEnd w:id="20"/>
    <w:bookmarkStart w:id="21" w:name="derived-figures-author-calculations"/>
    <w:p>
      <w:pPr>
        <w:pStyle w:val="Heading2"/>
      </w:pPr>
      <w:r>
        <w:t xml:space="preserve">Derived figures (author calculations)</w:t>
      </w:r>
    </w:p>
    <w:p>
      <w:pPr>
        <w:pStyle w:val="FirstParagraph"/>
      </w:pPr>
      <w:r>
        <w:t xml:space="preserve">All computed from BoM area-averaged series, NOAA CPC ONI, NOAA PSL DMI, CPC AAO</w:t>
      </w:r>
      <w:r>
        <w:t xml:space="preserve"> </w:t>
      </w:r>
      <w:r>
        <w:t xml:space="preserve">and GPCC v2020. Scripts:</w:t>
      </w:r>
      <w:r>
        <w:t xml:space="preserve"> </w:t>
      </w:r>
      <w:r>
        <w:rPr>
          <w:rStyle w:val="VerbatimChar"/>
        </w:rPr>
        <w:t xml:space="preserve">fetch_bom.py</w:t>
      </w:r>
      <w:r>
        <w:t xml:space="preserve">,</w:t>
      </w:r>
      <w:r>
        <w:t xml:space="preserve"> </w:t>
      </w:r>
      <w:r>
        <w:rPr>
          <w:rStyle w:val="VerbatimChar"/>
        </w:rPr>
        <w:t xml:space="preserve">analyse2.py</w:t>
      </w:r>
      <w:r>
        <w:t xml:space="preserve">,</w:t>
      </w:r>
      <w:r>
        <w:t xml:space="preserve"> </w:t>
      </w:r>
      <w:r>
        <w:rPr>
          <w:rStyle w:val="VerbatimChar"/>
        </w:rPr>
        <w:t xml:space="preserve">analyse3.py</w:t>
      </w:r>
      <w:r>
        <w:t xml:space="preserve">,</w:t>
      </w:r>
      <w:r>
        <w:t xml:space="preserve"> </w:t>
      </w:r>
      <w:r>
        <w:rPr>
          <w:rStyle w:val="VerbatimChar"/>
        </w:rPr>
        <w:t xml:space="preserve">gridded.py</w:t>
      </w:r>
      <w:r>
        <w:t xml:space="preserve">.</w:t>
      </w:r>
    </w:p>
    <w:tbl>
      <w:tblPr>
        <w:tblStyle w:val="Table"/>
        <w:tblW w:type="pct" w:w="5000"/>
        <w:tblLayout w:type="fixed"/>
        <w:tblLook w:firstRow="1" w:lastRow="0" w:firstColumn="0" w:lastColumn="0" w:noHBand="0" w:noVBand="0" w:val="0020"/>
      </w:tblPr>
      <w:tblGrid>
        <w:gridCol w:w="2436"/>
        <w:gridCol w:w="1827"/>
        <w:gridCol w:w="1827"/>
        <w:gridCol w:w="1827"/>
      </w:tblGrid>
      <w:tr>
        <w:trPr>
          <w:tblHeader w:val="on"/>
        </w:trPr>
        <w:tc>
          <w:tcPr/>
          <w:p>
            <w:pPr>
              <w:pStyle w:val="Compact"/>
              <w:jc w:val="left"/>
            </w:pPr>
            <w:r>
              <w:t xml:space="preserve">ID</w:t>
            </w:r>
          </w:p>
        </w:tc>
        <w:tc>
          <w:tcPr/>
          <w:p>
            <w:pPr>
              <w:pStyle w:val="Compact"/>
              <w:jc w:val="left"/>
            </w:pPr>
            <w:r>
              <w:t xml:space="preserve">Claim</w:t>
            </w:r>
          </w:p>
        </w:tc>
        <w:tc>
          <w:tcPr/>
          <w:p>
            <w:pPr>
              <w:pStyle w:val="Compact"/>
              <w:jc w:val="left"/>
            </w:pPr>
            <w:r>
              <w:t xml:space="preserve">Computation</w:t>
            </w:r>
          </w:p>
        </w:tc>
        <w:tc>
          <w:tcPr/>
          <w:p>
            <w:pPr>
              <w:pStyle w:val="Compact"/>
              <w:jc w:val="left"/>
            </w:pPr>
            <w:r>
              <w:t xml:space="preserve">Class</w:t>
            </w:r>
          </w:p>
        </w:tc>
      </w:tr>
      <w:tr>
        <w:tc>
          <w:tcPr/>
          <w:p>
            <w:pPr>
              <w:pStyle w:val="Compact"/>
              <w:jc w:val="left"/>
            </w:pPr>
            <w:r>
              <w:t xml:space="preserve">D1</w:t>
            </w:r>
          </w:p>
        </w:tc>
        <w:tc>
          <w:tcPr/>
          <w:p>
            <w:pPr>
              <w:pStyle w:val="Compact"/>
              <w:jc w:val="left"/>
            </w:pPr>
            <w:r>
              <w:t xml:space="preserve">24 El Niño events 1951–2023; 5 very strong</w:t>
            </w:r>
          </w:p>
        </w:tc>
        <w:tc>
          <w:tcPr/>
          <w:p>
            <w:pPr>
              <w:pStyle w:val="Compact"/>
              <w:jc w:val="left"/>
            </w:pPr>
            <w:r>
              <w:t xml:space="preserve">CPC rule (≥5 consecutive overlapping seasons with ONI ≥ +0.5) applied to</w:t>
            </w:r>
            <w:r>
              <w:t xml:space="preserve"> </w:t>
            </w:r>
            <w:r>
              <w:rPr>
                <w:rStyle w:val="VerbatimChar"/>
              </w:rPr>
              <w:t xml:space="preserve">oni.ascii.txt</w:t>
            </w:r>
            <w:r>
              <w:t xml:space="preserve">; very strong = peak ONI ≥ 2.0 → 1972, 1982, 1997, 2015, 2023</w:t>
            </w:r>
          </w:p>
        </w:tc>
        <w:tc>
          <w:tcPr/>
          <w:p>
            <w:pPr>
              <w:pStyle w:val="Compact"/>
              <w:jc w:val="left"/>
            </w:pPr>
            <w:r>
              <w:t xml:space="preserve">A</w:t>
            </w:r>
          </w:p>
        </w:tc>
      </w:tr>
      <w:tr>
        <w:tc>
          <w:tcPr/>
          <w:p>
            <w:pPr>
              <w:pStyle w:val="Compact"/>
              <w:jc w:val="left"/>
            </w:pPr>
            <w:r>
              <w:t xml:space="preserve">D2</w:t>
            </w:r>
          </w:p>
        </w:tc>
        <w:tc>
          <w:tcPr/>
          <w:p>
            <w:pPr>
              <w:pStyle w:val="Compact"/>
              <w:jc w:val="left"/>
            </w:pPr>
            <w:r>
              <w:t xml:space="preserve">Australian spring rainfall composite 73% of baseline; below normal in 92% of events</w:t>
            </w:r>
          </w:p>
        </w:tc>
        <w:tc>
          <w:tcPr/>
          <w:p>
            <w:pPr>
              <w:pStyle w:val="Compact"/>
              <w:jc w:val="left"/>
            </w:pPr>
            <w:r>
              <w:t xml:space="preserve">Mean over 24 onset years of (SON rainfall ÷ 31-yr centred rolling mean × 100) for region</w:t>
            </w:r>
            <w:r>
              <w:t xml:space="preserve"> </w:t>
            </w:r>
            <w:r>
              <w:rPr>
                <w:rStyle w:val="VerbatimChar"/>
              </w:rPr>
              <w:t xml:space="preserve">aus</w:t>
            </w:r>
            <w:r>
              <w:t xml:space="preserve"> </w:t>
            </w:r>
            <w:r>
              <w:t xml:space="preserve">= 72.76; share of those years &lt; 100 = 22/24 = 91.7%</w:t>
            </w:r>
          </w:p>
        </w:tc>
        <w:tc>
          <w:tcPr/>
          <w:p>
            <w:pPr>
              <w:pStyle w:val="Compact"/>
              <w:jc w:val="left"/>
            </w:pPr>
            <w:r>
              <w:t xml:space="preserve">A</w:t>
            </w:r>
          </w:p>
        </w:tc>
      </w:tr>
      <w:tr>
        <w:tc>
          <w:tcPr/>
          <w:p>
            <w:pPr>
              <w:pStyle w:val="Compact"/>
              <w:jc w:val="left"/>
            </w:pPr>
            <w:r>
              <w:t xml:space="preserve">D3</w:t>
            </w:r>
          </w:p>
        </w:tc>
        <w:tc>
          <w:tcPr/>
          <w:p>
            <w:pPr>
              <w:pStyle w:val="Compact"/>
              <w:jc w:val="left"/>
            </w:pPr>
            <w:r>
              <w:t xml:space="preserve">Regional spring composites: NT 64, Qld 65, SA 74, MDB 75, NSW 76, WA 80, Vic 83, Tas 91</w:t>
            </w:r>
          </w:p>
        </w:tc>
        <w:tc>
          <w:tcPr/>
          <w:p>
            <w:pPr>
              <w:pStyle w:val="Compact"/>
              <w:jc w:val="left"/>
            </w:pPr>
            <w:r>
              <w:t xml:space="preserve">Same operation per BoM region; values 64.03, 65.21, 73.62, 75.01, 76.14, 79.68, 82.65, 90.64</w:t>
            </w:r>
          </w:p>
        </w:tc>
        <w:tc>
          <w:tcPr/>
          <w:p>
            <w:pPr>
              <w:pStyle w:val="Compact"/>
              <w:jc w:val="left"/>
            </w:pPr>
            <w:r>
              <w:t xml:space="preserve">A</w:t>
            </w:r>
          </w:p>
        </w:tc>
      </w:tr>
      <w:tr>
        <w:tc>
          <w:tcPr/>
          <w:p>
            <w:pPr>
              <w:pStyle w:val="Compact"/>
              <w:jc w:val="left"/>
            </w:pPr>
            <w:r>
              <w:t xml:space="preserve">D4</w:t>
            </w:r>
          </w:p>
        </w:tc>
        <w:tc>
          <w:tcPr/>
          <w:p>
            <w:pPr>
              <w:pStyle w:val="Compact"/>
              <w:jc w:val="left"/>
            </w:pPr>
            <w:r>
              <w:t xml:space="preserve">Winter composites: Qld 64, NT 68, MDB 81, NSW 82, Vic 92, SA 93, WA 94, Tas 97</w:t>
            </w:r>
          </w:p>
        </w:tc>
        <w:tc>
          <w:tcPr/>
          <w:p>
            <w:pPr>
              <w:pStyle w:val="Compact"/>
              <w:jc w:val="left"/>
            </w:pPr>
            <w:r>
              <w:t xml:space="preserve">Same for JJA (period code 0608); values 63.85, 67.86, 81.47, 81.82, 92.18, 93.07, 94.22, 96.64</w:t>
            </w:r>
          </w:p>
        </w:tc>
        <w:tc>
          <w:tcPr/>
          <w:p>
            <w:pPr>
              <w:pStyle w:val="Compact"/>
              <w:jc w:val="left"/>
            </w:pPr>
            <w:r>
              <w:t xml:space="preserve">A</w:t>
            </w:r>
          </w:p>
        </w:tc>
      </w:tr>
      <w:tr>
        <w:tc>
          <w:tcPr/>
          <w:p>
            <w:pPr>
              <w:pStyle w:val="Compact"/>
              <w:jc w:val="left"/>
            </w:pPr>
            <w:r>
              <w:t xml:space="preserve">D5</w:t>
            </w:r>
          </w:p>
        </w:tc>
        <w:tc>
          <w:tcPr/>
          <w:p>
            <w:pPr>
              <w:pStyle w:val="Compact"/>
              <w:jc w:val="left"/>
            </w:pPr>
            <w:r>
              <w:t xml:space="preserve">Summer composites: WA 77 (88% of events dry), SA 83, NT 85, Qld 91, NSW 94, MDB 95, Vic 95, Tas 98</w:t>
            </w:r>
          </w:p>
        </w:tc>
        <w:tc>
          <w:tcPr/>
          <w:p>
            <w:pPr>
              <w:pStyle w:val="Compact"/>
              <w:jc w:val="left"/>
            </w:pPr>
            <w:r>
              <w:t xml:space="preserve">Same for DJF (period code 1202); WA = 77.39, share dry 21/24 = 87.5%</w:t>
            </w:r>
          </w:p>
        </w:tc>
        <w:tc>
          <w:tcPr/>
          <w:p>
            <w:pPr>
              <w:pStyle w:val="Compact"/>
              <w:jc w:val="left"/>
            </w:pPr>
            <w:r>
              <w:t xml:space="preserve">A</w:t>
            </w:r>
          </w:p>
        </w:tc>
      </w:tr>
      <w:tr>
        <w:tc>
          <w:tcPr/>
          <w:p>
            <w:pPr>
              <w:pStyle w:val="Compact"/>
              <w:jc w:val="left"/>
            </w:pPr>
            <w:r>
              <w:t xml:space="preserve">D6</w:t>
            </w:r>
          </w:p>
        </w:tc>
        <w:tc>
          <w:tcPr/>
          <w:p>
            <w:pPr>
              <w:pStyle w:val="Compact"/>
              <w:jc w:val="left"/>
            </w:pPr>
            <w:r>
              <w:t xml:space="preserve">corr(spring Niño 3.4, Australian spring rainfall) = −0.04, r² 0.00</w:t>
            </w:r>
          </w:p>
        </w:tc>
        <w:tc>
          <w:tcPr/>
          <w:p>
            <w:pPr>
              <w:pStyle w:val="Compact"/>
              <w:jc w:val="left"/>
            </w:pPr>
            <w:r>
              <w:t xml:space="preserve">Pearson correlation over 24 events of SON ONI against detrended</w:t>
            </w:r>
            <w:r>
              <w:t xml:space="preserve"> </w:t>
            </w:r>
            <w:r>
              <w:rPr>
                <w:rStyle w:val="VerbatimChar"/>
              </w:rPr>
              <w:t xml:space="preserve">aus</w:t>
            </w:r>
            <w:r>
              <w:t xml:space="preserve"> </w:t>
            </w:r>
            <w:r>
              <w:t xml:space="preserve">SON rainfall %; eastern Australia −0.03, MDB −0.01</w:t>
            </w:r>
          </w:p>
        </w:tc>
        <w:tc>
          <w:tcPr/>
          <w:p>
            <w:pPr>
              <w:pStyle w:val="Compact"/>
              <w:jc w:val="left"/>
            </w:pPr>
            <w:r>
              <w:t xml:space="preserve">A</w:t>
            </w:r>
          </w:p>
        </w:tc>
      </w:tr>
      <w:tr>
        <w:tc>
          <w:tcPr/>
          <w:p>
            <w:pPr>
              <w:pStyle w:val="Compact"/>
              <w:jc w:val="left"/>
            </w:pPr>
            <w:r>
              <w:t xml:space="preserve">D7</w:t>
            </w:r>
          </w:p>
        </w:tc>
        <w:tc>
          <w:tcPr/>
          <w:p>
            <w:pPr>
              <w:pStyle w:val="Compact"/>
              <w:jc w:val="left"/>
            </w:pPr>
            <w:r>
              <w:t xml:space="preserve">corr(spring Niño 3.4, Australian spring Tmax) = +0.42, r² 0.18</w:t>
            </w:r>
          </w:p>
        </w:tc>
        <w:tc>
          <w:tcPr/>
          <w:p>
            <w:pPr>
              <w:pStyle w:val="Compact"/>
              <w:jc w:val="left"/>
            </w:pPr>
            <w:r>
              <w:t xml:space="preserve">Pearson correlation over the same 24 events against detrended</w:t>
            </w:r>
            <w:r>
              <w:t xml:space="preserve"> </w:t>
            </w:r>
            <w:r>
              <w:rPr>
                <w:rStyle w:val="VerbatimChar"/>
              </w:rPr>
              <w:t xml:space="preserve">aus</w:t>
            </w:r>
            <w:r>
              <w:t xml:space="preserve"> </w:t>
            </w:r>
            <w:r>
              <w:t xml:space="preserve">SON Tmax anomaly</w:t>
            </w:r>
          </w:p>
        </w:tc>
        <w:tc>
          <w:tcPr/>
          <w:p>
            <w:pPr>
              <w:pStyle w:val="Compact"/>
              <w:jc w:val="left"/>
            </w:pPr>
            <w:r>
              <w:t xml:space="preserve">A</w:t>
            </w:r>
          </w:p>
        </w:tc>
      </w:tr>
      <w:tr>
        <w:tc>
          <w:tcPr/>
          <w:p>
            <w:pPr>
              <w:pStyle w:val="Compact"/>
              <w:jc w:val="left"/>
            </w:pPr>
            <w:r>
              <w:t xml:space="preserve">D8</w:t>
            </w:r>
          </w:p>
        </w:tc>
        <w:tc>
          <w:tcPr/>
          <w:p>
            <w:pPr>
              <w:pStyle w:val="Compact"/>
              <w:jc w:val="left"/>
            </w:pPr>
            <w:r>
              <w:t xml:space="preserve">Spring Tmax detrended composite: Aus +0.41, MDB +0.63, NSW +0.62 °C</w:t>
            </w:r>
          </w:p>
        </w:tc>
        <w:tc>
          <w:tcPr/>
          <w:p>
            <w:pPr>
              <w:pStyle w:val="Compact"/>
              <w:jc w:val="left"/>
            </w:pPr>
            <w:r>
              <w:t xml:space="preserve">Mean over 24 onset years of (SON Tmax − 31-yr centred rolling mean)</w:t>
            </w:r>
          </w:p>
        </w:tc>
        <w:tc>
          <w:tcPr/>
          <w:p>
            <w:pPr>
              <w:pStyle w:val="Compact"/>
              <w:jc w:val="left"/>
            </w:pPr>
            <w:r>
              <w:t xml:space="preserve">A</w:t>
            </w:r>
          </w:p>
        </w:tc>
      </w:tr>
      <w:tr>
        <w:tc>
          <w:tcPr/>
          <w:p>
            <w:pPr>
              <w:pStyle w:val="Compact"/>
              <w:jc w:val="left"/>
            </w:pPr>
            <w:r>
              <w:t xml:space="preserve">D9</w:t>
            </w:r>
          </w:p>
        </w:tc>
        <w:tc>
          <w:tcPr/>
          <w:p>
            <w:pPr>
              <w:pStyle w:val="Compact"/>
              <w:jc w:val="left"/>
            </w:pPr>
            <w:r>
              <w:t xml:space="preserve">Very strong events, spring Tmax vs 1961–90: NSW +2.07, MDB +2.07, Vic +1.71, SA +1.60, WA +1.46, Qld +0.97, Tas +0.96, NT +0.73 °C</w:t>
            </w:r>
          </w:p>
        </w:tc>
        <w:tc>
          <w:tcPr/>
          <w:p>
            <w:pPr>
              <w:pStyle w:val="Compact"/>
              <w:jc w:val="left"/>
            </w:pPr>
            <w:r>
              <w:t xml:space="preserve">Mean over 1972/1982/1997/2015/2023 of (SON Tmax − mean of 1961–90)</w:t>
            </w:r>
          </w:p>
        </w:tc>
        <w:tc>
          <w:tcPr/>
          <w:p>
            <w:pPr>
              <w:pStyle w:val="Compact"/>
              <w:jc w:val="left"/>
            </w:pPr>
            <w:r>
              <w:t xml:space="preserve">A</w:t>
            </w:r>
          </w:p>
        </w:tc>
      </w:tr>
      <w:tr>
        <w:tc>
          <w:tcPr/>
          <w:p>
            <w:pPr>
              <w:pStyle w:val="Compact"/>
              <w:jc w:val="left"/>
            </w:pPr>
            <w:r>
              <w:t xml:space="preserve">D10</w:t>
            </w:r>
          </w:p>
        </w:tc>
        <w:tc>
          <w:tcPr/>
          <w:p>
            <w:pPr>
              <w:pStyle w:val="Compact"/>
              <w:jc w:val="left"/>
            </w:pPr>
            <w:r>
              <w:t xml:space="preserve">ENSO share of that total ranges 29% (NT) to 75% (Tas)</w:t>
            </w:r>
          </w:p>
        </w:tc>
        <w:tc>
          <w:tcPr/>
          <w:p>
            <w:pPr>
              <w:pStyle w:val="Compact"/>
              <w:jc w:val="left"/>
            </w:pPr>
            <w:r>
              <w:t xml:space="preserve">D8 very-strong subset ÷ D9, per region: NT 0.21/0.73 = 29%; Tas 0.73/0.96 = 76%; NSW 1.29/2.07 = 62%</w:t>
            </w:r>
          </w:p>
        </w:tc>
        <w:tc>
          <w:tcPr/>
          <w:p>
            <w:pPr>
              <w:pStyle w:val="Compact"/>
              <w:jc w:val="left"/>
            </w:pPr>
            <w:r>
              <w:t xml:space="preserve">A</w:t>
            </w:r>
          </w:p>
        </w:tc>
      </w:tr>
      <w:tr>
        <w:tc>
          <w:tcPr/>
          <w:p>
            <w:pPr>
              <w:pStyle w:val="Compact"/>
              <w:jc w:val="left"/>
            </w:pPr>
            <w:r>
              <w:t xml:space="preserve">D11</w:t>
            </w:r>
          </w:p>
        </w:tc>
        <w:tc>
          <w:tcPr/>
          <w:p>
            <w:pPr>
              <w:pStyle w:val="Compact"/>
              <w:jc w:val="left"/>
            </w:pPr>
            <w:r>
              <w:t xml:space="preserve">IOD interaction table (Section 3.3), all cells —</w:t>
            </w:r>
            <w:r>
              <w:t xml:space="preserve"> </w:t>
            </w:r>
            <w:r>
              <w:rPr>
                <w:b/>
                <w:bCs/>
              </w:rPr>
              <w:t xml:space="preserve">corrected 2026-08-03</w:t>
            </w:r>
          </w:p>
        </w:tc>
        <w:tc>
          <w:tcPr/>
          <w:p>
            <w:pPr>
              <w:pStyle w:val="Compact"/>
              <w:jc w:val="left"/>
            </w:pPr>
            <w:r>
              <w:t xml:space="preserve">Mean detrended SON rainfall % by (El Niño year? × SON DMI ≥ +0.4 °C?), 1950–2025; n = 8 / 16 / 52. Values as [El Niño+pIOD, El Niño no pIOD, gap, no El Niño]: Vic [68, 90, −22, 110]; SA [60, 81, −21, 114]; Tas [82, 95, −13, 105]; MDB [68, 78, −10, 114]; NSW [73, 78, −5, 113]; WA [78, 81, −3, 109]; NT [62, 65, −3, 119]; Qld [65, 65, −1, 117]. pIOD springs: 1972, 1982, 1994, 1997, 2006, 2018, 2019, 2023</w:t>
            </w:r>
          </w:p>
        </w:tc>
        <w:tc>
          <w:tcPr/>
          <w:p>
            <w:pPr>
              <w:pStyle w:val="Compact"/>
              <w:jc w:val="left"/>
            </w:pPr>
            <w:r>
              <w:t xml:space="preserve">A</w:t>
            </w:r>
          </w:p>
        </w:tc>
      </w:tr>
      <w:tr>
        <w:tc>
          <w:tcPr/>
          <w:p>
            <w:pPr>
              <w:pStyle w:val="Compact"/>
              <w:jc w:val="left"/>
            </w:pPr>
            <w:r>
              <w:t xml:space="preserve">D11f</w:t>
            </w:r>
          </w:p>
        </w:tc>
        <w:tc>
          <w:tcPr/>
          <w:p>
            <w:pPr>
              <w:pStyle w:val="Compact"/>
              <w:jc w:val="left"/>
            </w:pPr>
            <w:r>
              <w:t xml:space="preserve">Robustness of D11 at a +0.25 °C threshold (n=11 vs 13)</w:t>
            </w:r>
          </w:p>
        </w:tc>
        <w:tc>
          <w:tcPr/>
          <w:p>
            <w:pPr>
              <w:pStyle w:val="Compact"/>
              <w:jc w:val="left"/>
            </w:pPr>
            <w:r>
              <w:t xml:space="preserve">Vic 68 vs 95 (−27); SA 56 vs 89 (−33); MDB 67 vs 82 (−15); Qld 60 vs 69 (−9). Same ordering, larger southern gaps</w:t>
            </w:r>
          </w:p>
        </w:tc>
        <w:tc>
          <w:tcPr/>
          <w:p>
            <w:pPr>
              <w:pStyle w:val="Compact"/>
              <w:jc w:val="left"/>
            </w:pPr>
            <w:r>
              <w:t xml:space="preserve">A</w:t>
            </w:r>
          </w:p>
        </w:tc>
      </w:tr>
      <w:tr>
        <w:tc>
          <w:tcPr/>
          <w:p>
            <w:pPr>
              <w:pStyle w:val="Compact"/>
              <w:jc w:val="left"/>
            </w:pPr>
            <w:r>
              <w:t xml:space="preserve">D11g</w:t>
            </w:r>
          </w:p>
        </w:tc>
        <w:tc>
          <w:tcPr/>
          <w:p>
            <w:pPr>
              <w:pStyle w:val="Compact"/>
              <w:jc w:val="left"/>
            </w:pPr>
            <w:r>
              <w:t xml:space="preserve">Superseded values from the tercile split (do not reuse)</w:t>
            </w:r>
          </w:p>
        </w:tc>
        <w:tc>
          <w:tcPr/>
          <w:p>
            <w:pPr>
              <w:pStyle w:val="Compact"/>
              <w:jc w:val="left"/>
            </w:pPr>
            <w:r>
              <w:t xml:space="preserve">Vic 72 vs 104; MDB 67 vs 92; Qld 61 vs 74; threshold −0.06 °C. Retained here only so the correction is auditable</w:t>
            </w:r>
          </w:p>
        </w:tc>
        <w:tc>
          <w:tcPr/>
          <w:p>
            <w:pPr>
              <w:pStyle w:val="Compact"/>
              <w:jc w:val="left"/>
            </w:pPr>
            <w:r>
              <w:t xml:space="preserve">—</w:t>
            </w:r>
          </w:p>
        </w:tc>
      </w:tr>
      <w:tr>
        <w:tc>
          <w:tcPr/>
          <w:p>
            <w:pPr>
              <w:pStyle w:val="Compact"/>
              <w:jc w:val="left"/>
            </w:pPr>
            <w:r>
              <w:t xml:space="preserve">D11b</w:t>
            </w:r>
          </w:p>
        </w:tc>
        <w:tc>
          <w:tcPr/>
          <w:p>
            <w:pPr>
              <w:pStyle w:val="Compact"/>
              <w:jc w:val="left"/>
            </w:pPr>
            <w:r>
              <w:t xml:space="preserve">Gridded box table (Section 5), all cells —</w:t>
            </w:r>
            <w:r>
              <w:t xml:space="preserve"> </w:t>
            </w:r>
            <w:r>
              <w:rPr>
                <w:b/>
                <w:bCs/>
              </w:rPr>
              <w:t xml:space="preserve">recomputed from AGCD 2026-08-03</w:t>
            </w:r>
          </w:p>
        </w:tc>
        <w:tc>
          <w:tcPr/>
          <w:p>
            <w:pPr>
              <w:pStyle w:val="Compact"/>
              <w:jc w:val="left"/>
            </w:pPr>
            <w:r>
              <w:t xml:space="preserve">Cosine-weighted, land-masked box means of the per-cell median: [rainfall % of average, share of events below normal, spring Tmax anomaly °C]. NE Aus [43, 90, +0.17]; N Aus [55, 83, +0.16]; E Aus [59, 79, +0.51]; NW WA [63, 75, +0.35]; S Aus [70, 73, +0.53]; SE Aus [72, 74, +0.41]; SW WA [84, 65, +0.46]. Prior GPCC values (49, 56, 61, 61, 71, 72, 83) agree within 2–6 pp — an independent cross-check, both retained in the working files</w:t>
            </w:r>
          </w:p>
        </w:tc>
        <w:tc>
          <w:tcPr/>
          <w:p>
            <w:pPr>
              <w:pStyle w:val="Compact"/>
              <w:jc w:val="left"/>
            </w:pPr>
            <w:r>
              <w:t xml:space="preserve">A</w:t>
            </w:r>
          </w:p>
        </w:tc>
      </w:tr>
      <w:tr>
        <w:tc>
          <w:tcPr/>
          <w:p>
            <w:pPr>
              <w:pStyle w:val="Compact"/>
              <w:jc w:val="left"/>
            </w:pPr>
            <w:r>
              <w:t xml:space="preserve">D11c</w:t>
            </w:r>
          </w:p>
        </w:tc>
        <w:tc>
          <w:tcPr/>
          <w:p>
            <w:pPr>
              <w:pStyle w:val="Compact"/>
              <w:jc w:val="left"/>
            </w:pPr>
            <w:r>
              <w:t xml:space="preserve">Very-strong-event spring rainfall column (Section 4.4)</w:t>
            </w:r>
          </w:p>
        </w:tc>
        <w:tc>
          <w:tcPr/>
          <w:p>
            <w:pPr>
              <w:pStyle w:val="Compact"/>
              <w:jc w:val="left"/>
            </w:pPr>
            <w:r>
              <w:t xml:space="preserve">Mean over 1972/1982/1997/2015/2023 of detrended SON rainfall %: NT 65, Qld 76, SA 68, MDB 78, NSW 84, WA 83, Vic 70, Tas 71, Australia 75</w:t>
            </w:r>
          </w:p>
        </w:tc>
        <w:tc>
          <w:tcPr/>
          <w:p>
            <w:pPr>
              <w:pStyle w:val="Compact"/>
              <w:jc w:val="left"/>
            </w:pPr>
            <w:r>
              <w:t xml:space="preserve">A</w:t>
            </w:r>
          </w:p>
        </w:tc>
      </w:tr>
      <w:tr>
        <w:tc>
          <w:tcPr/>
          <w:p>
            <w:pPr>
              <w:pStyle w:val="Compact"/>
              <w:jc w:val="left"/>
            </w:pPr>
            <w:r>
              <w:t xml:space="preserve">D11d</w:t>
            </w:r>
          </w:p>
        </w:tc>
        <w:tc>
          <w:tcPr/>
          <w:p>
            <w:pPr>
              <w:pStyle w:val="Compact"/>
              <w:jc w:val="left"/>
            </w:pPr>
            <w:r>
              <w:t xml:space="preserve">Selected-event table (Section 4.3)</w:t>
            </w:r>
          </w:p>
        </w:tc>
        <w:tc>
          <w:tcPr/>
          <w:p>
            <w:pPr>
              <w:pStyle w:val="Compact"/>
              <w:jc w:val="left"/>
            </w:pPr>
            <w:r>
              <w:t xml:space="preserve">Spring Niño 3.4 / Australian spring rainfall %: 1997–98 2.33/98; 2015–16 2.47/65; 1982–83 1.97/63; 2023–24 1.83/72; 2002–03 1.21/52; 2006–07 0.77/52; 2019–20 0.39/35; 1976–77 0.81/126</w:t>
            </w:r>
          </w:p>
        </w:tc>
        <w:tc>
          <w:tcPr/>
          <w:p>
            <w:pPr>
              <w:pStyle w:val="Compact"/>
              <w:jc w:val="left"/>
            </w:pPr>
            <w:r>
              <w:t xml:space="preserve">A</w:t>
            </w:r>
          </w:p>
        </w:tc>
      </w:tr>
      <w:tr>
        <w:tc>
          <w:tcPr/>
          <w:p>
            <w:pPr>
              <w:pStyle w:val="Compact"/>
              <w:jc w:val="left"/>
            </w:pPr>
            <w:r>
              <w:t xml:space="preserve">D11e</w:t>
            </w:r>
          </w:p>
        </w:tc>
        <w:tc>
          <w:tcPr/>
          <w:p>
            <w:pPr>
              <w:pStyle w:val="Compact"/>
              <w:jc w:val="left"/>
            </w:pPr>
            <w:r>
              <w:t xml:space="preserve">Share-of-events-below-normal column (Section 4.4)</w:t>
            </w:r>
          </w:p>
        </w:tc>
        <w:tc>
          <w:tcPr/>
          <w:p>
            <w:pPr>
              <w:pStyle w:val="Compact"/>
              <w:jc w:val="left"/>
            </w:pPr>
            <w:r>
              <w:t xml:space="preserve">NT 88%, Qld 92%, SA 79%, MDB 79%, NSW 75%, WA 79%, Vic 79%, Tas 75%, Australia 92%</w:t>
            </w:r>
          </w:p>
        </w:tc>
        <w:tc>
          <w:tcPr/>
          <w:p>
            <w:pPr>
              <w:pStyle w:val="Compact"/>
              <w:jc w:val="left"/>
            </w:pPr>
            <w:r>
              <w:t xml:space="preserve">A</w:t>
            </w:r>
          </w:p>
        </w:tc>
      </w:tr>
      <w:tr>
        <w:tc>
          <w:tcPr/>
          <w:p>
            <w:pPr>
              <w:pStyle w:val="Compact"/>
              <w:jc w:val="left"/>
            </w:pPr>
            <w:r>
              <w:t xml:space="preserve">D12</w:t>
            </w:r>
          </w:p>
        </w:tc>
        <w:tc>
          <w:tcPr/>
          <w:p>
            <w:pPr>
              <w:pStyle w:val="Compact"/>
              <w:jc w:val="left"/>
            </w:pPr>
            <w:r>
              <w:t xml:space="preserve">corr(SON ONI, SON DMI) = +0.55 (n=76); corr(SON ONI, SON SAM) = −0.25 (n=47)</w:t>
            </w:r>
          </w:p>
        </w:tc>
        <w:tc>
          <w:tcPr/>
          <w:p>
            <w:pPr>
              <w:pStyle w:val="Compact"/>
              <w:jc w:val="left"/>
            </w:pPr>
            <w:r>
              <w:t xml:space="preserve">Pearson correlations, 1950–2025 and 1979–2025 respectively</w:t>
            </w:r>
          </w:p>
        </w:tc>
        <w:tc>
          <w:tcPr/>
          <w:p>
            <w:pPr>
              <w:pStyle w:val="Compact"/>
              <w:jc w:val="left"/>
            </w:pPr>
            <w:r>
              <w:t xml:space="preserve">A</w:t>
            </w:r>
          </w:p>
        </w:tc>
      </w:tr>
      <w:tr>
        <w:tc>
          <w:tcPr/>
          <w:p>
            <w:pPr>
              <w:pStyle w:val="Compact"/>
              <w:jc w:val="left"/>
            </w:pPr>
            <w:r>
              <w:t xml:space="preserve">D13</w:t>
            </w:r>
          </w:p>
        </w:tc>
        <w:tc>
          <w:tcPr/>
          <w:p>
            <w:pPr>
              <w:pStyle w:val="Compact"/>
              <w:jc w:val="left"/>
            </w:pPr>
            <w:r>
              <w:t xml:space="preserve">SAM spring spread: Australia 121% (upper tercile) vs 81% (lower); non-El Niño years 128% vs 92%</w:t>
            </w:r>
          </w:p>
        </w:tc>
        <w:tc>
          <w:tcPr/>
          <w:p>
            <w:pPr>
              <w:pStyle w:val="Compact"/>
              <w:jc w:val="left"/>
            </w:pPr>
            <w:r>
              <w:t xml:space="preserve">Mean detrended SON rainfall % by SON AAO tercile, 1979–2025, n = 16/15/16 all years and 14/10/10 excluding El Niño years. NSW all years 125 vs 75; non-El Niño 131 vs 83. Tasmania reversed: all years 94 vs 108; non-El Niño 99 vs 114</w:t>
            </w:r>
          </w:p>
        </w:tc>
        <w:tc>
          <w:tcPr/>
          <w:p>
            <w:pPr>
              <w:pStyle w:val="Compact"/>
              <w:jc w:val="left"/>
            </w:pPr>
            <w:r>
              <w:t xml:space="preserve">A</w:t>
            </w:r>
          </w:p>
        </w:tc>
      </w:tr>
      <w:tr>
        <w:tc>
          <w:tcPr/>
          <w:p>
            <w:pPr>
              <w:pStyle w:val="Compact"/>
              <w:jc w:val="left"/>
            </w:pPr>
            <w:r>
              <w:t xml:space="preserve">D14</w:t>
            </w:r>
          </w:p>
        </w:tc>
        <w:tc>
          <w:tcPr/>
          <w:p>
            <w:pPr>
              <w:pStyle w:val="Compact"/>
              <w:jc w:val="left"/>
            </w:pPr>
            <w:r>
              <w:t xml:space="preserve">Gridded boxes: NE Aus 49% and 89% of events dry; SW WA 83% and 66%</w:t>
            </w:r>
          </w:p>
        </w:tc>
        <w:tc>
          <w:tcPr/>
          <w:p>
            <w:pPr>
              <w:pStyle w:val="Compact"/>
              <w:jc w:val="left"/>
            </w:pPr>
            <w:r>
              <w:t xml:space="preserve">Cosine-latitude-weighted mean over each box of the per-cell median (23 events) and per-cell share below 100</w:t>
            </w:r>
          </w:p>
        </w:tc>
        <w:tc>
          <w:tcPr/>
          <w:p>
            <w:pPr>
              <w:pStyle w:val="Compact"/>
              <w:jc w:val="left"/>
            </w:pPr>
            <w:r>
              <w:t xml:space="preserve">A</w:t>
            </w:r>
          </w:p>
        </w:tc>
      </w:tr>
      <w:tr>
        <w:tc>
          <w:tcPr/>
          <w:p>
            <w:pPr>
              <w:pStyle w:val="Compact"/>
              <w:jc w:val="left"/>
            </w:pPr>
            <w:r>
              <w:t xml:space="preserve">D15</w:t>
            </w:r>
          </w:p>
        </w:tc>
        <w:tc>
          <w:tcPr/>
          <w:p>
            <w:pPr>
              <w:pStyle w:val="Compact"/>
              <w:jc w:val="left"/>
            </w:pPr>
            <w:r>
              <w:t xml:space="preserve">Flavour split 17 EP / 7 CP; CP winter Qld 54% vs EP 68%</w:t>
            </w:r>
          </w:p>
        </w:tc>
        <w:tc>
          <w:tcPr/>
          <w:p>
            <w:pPr>
              <w:pStyle w:val="Compact"/>
              <w:jc w:val="left"/>
            </w:pPr>
            <w:r>
              <w:t xml:space="preserve">Classified by whether SON Niño 3 &gt; SON Niño 4 anomaly (PSL ERSSTv6); composites as D4 restricted to each subset</w:t>
            </w:r>
          </w:p>
        </w:tc>
        <w:tc>
          <w:tcPr/>
          <w:p>
            <w:pPr>
              <w:pStyle w:val="Compact"/>
              <w:jc w:val="left"/>
            </w:pPr>
            <w:r>
              <w:t xml:space="preserve">B</w:t>
            </w:r>
          </w:p>
        </w:tc>
      </w:tr>
      <w:tr>
        <w:tc>
          <w:tcPr/>
          <w:p>
            <w:pPr>
              <w:pStyle w:val="Compact"/>
              <w:jc w:val="left"/>
            </w:pPr>
            <w:r>
              <w:t xml:space="preserve">D16</w:t>
            </w:r>
          </w:p>
        </w:tc>
        <w:tc>
          <w:tcPr/>
          <w:p>
            <w:pPr>
              <w:pStyle w:val="Compact"/>
              <w:jc w:val="left"/>
            </w:pPr>
            <w:r>
              <w:t xml:space="preserve">2019 had the highest SON DMI in the sample (+0.90) and the driest Australian spring (35%)</w:t>
            </w:r>
          </w:p>
        </w:tc>
        <w:tc>
          <w:tcPr/>
          <w:p>
            <w:pPr>
              <w:pStyle w:val="Compact"/>
              <w:jc w:val="left"/>
            </w:pPr>
            <w:r>
              <w:t xml:space="preserve">From</w:t>
            </w:r>
            <w:r>
              <w:t xml:space="preserve"> </w:t>
            </w:r>
            <w:r>
              <w:rPr>
                <w:rStyle w:val="VerbatimChar"/>
              </w:rPr>
              <w:t xml:space="preserve">elnino_events_full.csv</w:t>
            </w:r>
            <w:r>
              <w:t xml:space="preserve"> </w:t>
            </w:r>
            <w:r>
              <w:t xml:space="preserve">and D2 series</w:t>
            </w:r>
          </w:p>
        </w:tc>
        <w:tc>
          <w:tcPr/>
          <w:p>
            <w:pPr>
              <w:pStyle w:val="Compact"/>
              <w:jc w:val="left"/>
            </w:pPr>
            <w:r>
              <w:t xml:space="preserve">A</w:t>
            </w:r>
          </w:p>
        </w:tc>
      </w:tr>
      <w:tr>
        <w:tc>
          <w:tcPr/>
          <w:p>
            <w:pPr>
              <w:pStyle w:val="Compact"/>
              <w:jc w:val="left"/>
            </w:pPr>
            <w:r>
              <w:t xml:space="preserve">D17</w:t>
            </w:r>
          </w:p>
        </w:tc>
        <w:tc>
          <w:tcPr/>
          <w:p>
            <w:pPr>
              <w:pStyle w:val="Compact"/>
              <w:jc w:val="left"/>
            </w:pPr>
            <w:r>
              <w:t xml:space="preserve">Southern states supply 40.3 Mt of the 54.5 Mt national crop forecast</w:t>
            </w:r>
          </w:p>
        </w:tc>
        <w:tc>
          <w:tcPr/>
          <w:p>
            <w:pPr>
              <w:pStyle w:val="Compact"/>
              <w:jc w:val="left"/>
            </w:pPr>
            <w:r>
              <w:t xml:space="preserve">WA 21.5 + Vic 9.7 + SA 9.1 = 40.3 Mt (C25, C26)</w:t>
            </w:r>
          </w:p>
        </w:tc>
        <w:tc>
          <w:tcPr/>
          <w:p>
            <w:pPr>
              <w:pStyle w:val="Compact"/>
              <w:jc w:val="left"/>
            </w:pPr>
            <w:r>
              <w:t xml:space="preserve">B</w:t>
            </w:r>
          </w:p>
        </w:tc>
      </w:tr>
      <w:tr>
        <w:tc>
          <w:tcPr/>
          <w:p>
            <w:pPr>
              <w:pStyle w:val="Compact"/>
              <w:jc w:val="left"/>
            </w:pPr>
            <w:r>
              <w:t xml:space="preserve">D18</w:t>
            </w:r>
          </w:p>
        </w:tc>
        <w:tc>
          <w:tcPr/>
          <w:p>
            <w:pPr>
              <w:pStyle w:val="Compact"/>
              <w:jc w:val="left"/>
            </w:pPr>
            <w:r>
              <w:t xml:space="preserve">The IOD shift is worth ~10pp of MDB and ~22pp of Victorian spring rainfall —</w:t>
            </w:r>
            <w:r>
              <w:t xml:space="preserve"> </w:t>
            </w:r>
            <w:r>
              <w:rPr>
                <w:b/>
                <w:bCs/>
              </w:rPr>
              <w:t xml:space="preserve">corrected 2026-08-03</w:t>
            </w:r>
          </w:p>
        </w:tc>
        <w:tc>
          <w:tcPr/>
          <w:p>
            <w:pPr>
              <w:pStyle w:val="Compact"/>
              <w:jc w:val="left"/>
            </w:pPr>
            <w:r>
              <w:t xml:space="preserve">From D11: MDB 78 − 68 = 10pp; Vic 90 − 68 = 22pp. Superseded figures were 25pp and 32pp, from the tercile split (D11g)</w:t>
            </w:r>
          </w:p>
        </w:tc>
        <w:tc>
          <w:tcPr/>
          <w:p>
            <w:pPr>
              <w:pStyle w:val="Compact"/>
              <w:jc w:val="left"/>
            </w:pPr>
            <w:r>
              <w:t xml:space="preserve">A</w:t>
            </w:r>
          </w:p>
        </w:tc>
      </w:tr>
    </w:tbl>
    <w:p>
      <w:r>
        <w:pict>
          <v:rect style="width:0;height:1.5pt" o:hralign="center" o:hrstd="t" o:hr="t"/>
        </w:pict>
      </w:r>
    </w:p>
    <w:bookmarkEnd w:id="21"/>
    <w:bookmarkStart w:id="23" w:name="Xc54e588d9773b1b4480b08567a5526430ec2b1e"/>
    <w:p>
      <w:pPr>
        <w:pStyle w:val="Heading2"/>
      </w:pPr>
      <w:r>
        <w:t xml:space="preserve">Additional claims —</w:t>
      </w:r>
      <w:r>
        <w:t xml:space="preserve"> </w:t>
      </w:r>
      <w:r>
        <w:rPr>
          <w:rStyle w:val="VerbatimChar"/>
        </w:rPr>
        <w:t xml:space="preserve">el_nino_treasurer_brief.md</w:t>
      </w:r>
    </w:p>
    <w:tbl>
      <w:tblPr>
        <w:tblStyle w:val="Table"/>
        <w:tblW w:type="pct" w:w="5000"/>
        <w:tblLayout w:type="fixed"/>
        <w:tblLook w:firstRow="1" w:lastRow="0" w:firstColumn="0" w:lastColumn="0" w:noHBand="0" w:noVBand="0" w:val="0020"/>
      </w:tblPr>
      <w:tblGrid>
        <w:gridCol w:w="1267"/>
        <w:gridCol w:w="950"/>
        <w:gridCol w:w="950"/>
        <w:gridCol w:w="950"/>
        <w:gridCol w:w="950"/>
        <w:gridCol w:w="950"/>
        <w:gridCol w:w="950"/>
        <w:gridCol w:w="950"/>
      </w:tblGrid>
      <w:tr>
        <w:trPr>
          <w:tblHeader w:val="on"/>
        </w:trPr>
        <w:tc>
          <w:tcPr/>
          <w:p>
            <w:pPr>
              <w:pStyle w:val="Compact"/>
              <w:jc w:val="left"/>
            </w:pPr>
            <w:r>
              <w:t xml:space="preserve">ID</w:t>
            </w:r>
          </w:p>
        </w:tc>
        <w:tc>
          <w:tcPr/>
          <w:p>
            <w:pPr>
              <w:pStyle w:val="Compact"/>
              <w:jc w:val="left"/>
            </w:pPr>
            <w:r>
              <w:t xml:space="preserve">Claim as it appears in the draft</w:t>
            </w:r>
          </w:p>
        </w:tc>
        <w:tc>
          <w:tcPr/>
          <w:p>
            <w:pPr>
              <w:pStyle w:val="Compact"/>
              <w:jc w:val="left"/>
            </w:pPr>
            <w:r>
              <w:t xml:space="preserve">Verbatim source snippet</w:t>
            </w:r>
          </w:p>
        </w:tc>
        <w:tc>
          <w:tcPr/>
          <w:p>
            <w:pPr>
              <w:pStyle w:val="Compact"/>
              <w:jc w:val="left"/>
            </w:pPr>
            <w:r>
              <w:t xml:space="preserve">Source</w:t>
            </w:r>
          </w:p>
        </w:tc>
        <w:tc>
          <w:tcPr/>
          <w:p>
            <w:pPr>
              <w:pStyle w:val="Compact"/>
              <w:jc w:val="left"/>
            </w:pPr>
            <w:r>
              <w:t xml:space="preserve">URL</w:t>
            </w:r>
          </w:p>
        </w:tc>
        <w:tc>
          <w:tcPr/>
          <w:p>
            <w:pPr>
              <w:pStyle w:val="Compact"/>
              <w:jc w:val="left"/>
            </w:pPr>
            <w:r>
              <w:t xml:space="preserve">Accessed</w:t>
            </w:r>
          </w:p>
        </w:tc>
        <w:tc>
          <w:tcPr/>
          <w:p>
            <w:pPr>
              <w:pStyle w:val="Compact"/>
              <w:jc w:val="left"/>
            </w:pPr>
            <w:r>
              <w:t xml:space="preserve">Tier</w:t>
            </w:r>
          </w:p>
        </w:tc>
        <w:tc>
          <w:tcPr/>
          <w:p>
            <w:pPr>
              <w:pStyle w:val="Compact"/>
              <w:jc w:val="left"/>
            </w:pPr>
            <w:r>
              <w:t xml:space="preserve">Class</w:t>
            </w:r>
          </w:p>
        </w:tc>
      </w:tr>
      <w:tr>
        <w:tc>
          <w:tcPr/>
          <w:p>
            <w:pPr>
              <w:pStyle w:val="Compact"/>
              <w:jc w:val="left"/>
            </w:pPr>
            <w:r>
              <w:t xml:space="preserve">T1</w:t>
            </w:r>
          </w:p>
        </w:tc>
        <w:tc>
          <w:tcPr/>
          <w:p>
            <w:pPr>
              <w:pStyle w:val="Compact"/>
              <w:jc w:val="left"/>
            </w:pPr>
            <w:r>
              <w:t xml:space="preserve">Gross value of agricultural production forecast −5% to $98.3bn in 2026–27</w:t>
            </w:r>
          </w:p>
        </w:tc>
        <w:tc>
          <w:tcPr/>
          <w:p>
            <w:pPr>
              <w:pStyle w:val="Compact"/>
              <w:jc w:val="left"/>
            </w:pPr>
            <w:r>
              <w:t xml:space="preserve">“Gross value of agricultural production to fall by 5% to $98.3 billion in 2026–27.”</w:t>
            </w:r>
          </w:p>
        </w:tc>
        <w:tc>
          <w:tcPr/>
          <w:p>
            <w:pPr>
              <w:pStyle w:val="Compact"/>
              <w:jc w:val="left"/>
            </w:pPr>
            <w:r>
              <w:t xml:space="preserve">ABARES Agricultural Commodities Report, June Quarter 2026</w:t>
            </w:r>
          </w:p>
        </w:tc>
        <w:tc>
          <w:tcPr/>
          <w:p>
            <w:pPr>
              <w:pStyle w:val="Compact"/>
              <w:jc w:val="left"/>
            </w:pPr>
            <w:r>
              <w:t xml:space="preserve">https://www.agriculture.gov.au/abares/research-topics/agricultural-outlook/june-2026</w:t>
            </w:r>
          </w:p>
        </w:tc>
        <w:tc>
          <w:tcPr/>
          <w:p>
            <w:pPr>
              <w:pStyle w:val="Compact"/>
              <w:jc w:val="left"/>
            </w:pPr>
            <w:r>
              <w:t xml:space="preserve">2026-08-01</w:t>
            </w:r>
          </w:p>
        </w:tc>
        <w:tc>
          <w:tcPr/>
          <w:p>
            <w:pPr>
              <w:pStyle w:val="Compact"/>
              <w:jc w:val="left"/>
            </w:pPr>
            <w:r>
              <w:t xml:space="preserve">1</w:t>
            </w:r>
          </w:p>
        </w:tc>
        <w:tc>
          <w:tcPr/>
          <w:p>
            <w:pPr>
              <w:pStyle w:val="Compact"/>
              <w:jc w:val="left"/>
            </w:pPr>
            <w:r>
              <w:t xml:space="preserve">A</w:t>
            </w:r>
          </w:p>
        </w:tc>
      </w:tr>
      <w:tr>
        <w:tc>
          <w:tcPr/>
          <w:p>
            <w:pPr>
              <w:pStyle w:val="Compact"/>
              <w:jc w:val="left"/>
            </w:pPr>
            <w:r>
              <w:t xml:space="preserve">T2</w:t>
            </w:r>
          </w:p>
        </w:tc>
        <w:tc>
          <w:tcPr/>
          <w:p>
            <w:pPr>
              <w:pStyle w:val="Compact"/>
              <w:jc w:val="left"/>
            </w:pPr>
            <w:r>
              <w:t xml:space="preserve">Agricultural export value −9% to $74.8bn</w:t>
            </w:r>
          </w:p>
        </w:tc>
        <w:tc>
          <w:tcPr/>
          <w:p>
            <w:pPr>
              <w:pStyle w:val="Compact"/>
              <w:jc w:val="left"/>
            </w:pPr>
            <w:r>
              <w:t xml:space="preserve">“Agricultural export value to fall by 9% to $74.8 billion driven by lower livestock product and crop exports.”</w:t>
            </w:r>
          </w:p>
        </w:tc>
        <w:tc>
          <w:tcPr/>
          <w:p>
            <w:pPr>
              <w:pStyle w:val="Compact"/>
              <w:jc w:val="left"/>
            </w:pPr>
            <w:r>
              <w:t xml:space="preserve">ABARES Ag Commodities June 2026</w:t>
            </w:r>
          </w:p>
        </w:tc>
        <w:tc>
          <w:tcPr/>
          <w:p>
            <w:pPr>
              <w:pStyle w:val="Compact"/>
              <w:jc w:val="left"/>
            </w:pPr>
            <w:r>
              <w:t xml:space="preserve">as T1</w:t>
            </w:r>
          </w:p>
        </w:tc>
        <w:tc>
          <w:tcPr/>
          <w:p>
            <w:pPr>
              <w:pStyle w:val="Compact"/>
              <w:jc w:val="left"/>
            </w:pPr>
            <w:r>
              <w:t xml:space="preserve">2026-08-01</w:t>
            </w:r>
          </w:p>
        </w:tc>
        <w:tc>
          <w:tcPr/>
          <w:p>
            <w:pPr>
              <w:pStyle w:val="Compact"/>
              <w:jc w:val="left"/>
            </w:pPr>
            <w:r>
              <w:t xml:space="preserve">1</w:t>
            </w:r>
          </w:p>
        </w:tc>
        <w:tc>
          <w:tcPr/>
          <w:p>
            <w:pPr>
              <w:pStyle w:val="Compact"/>
              <w:jc w:val="left"/>
            </w:pPr>
            <w:r>
              <w:t xml:space="preserve">A</w:t>
            </w:r>
          </w:p>
        </w:tc>
      </w:tr>
      <w:tr>
        <w:tc>
          <w:tcPr/>
          <w:p>
            <w:pPr>
              <w:pStyle w:val="Compact"/>
              <w:jc w:val="left"/>
            </w:pPr>
            <w:r>
              <w:t xml:space="preserve">T3</w:t>
            </w:r>
          </w:p>
        </w:tc>
        <w:tc>
          <w:tcPr/>
          <w:p>
            <w:pPr>
              <w:pStyle w:val="Compact"/>
              <w:jc w:val="left"/>
            </w:pPr>
            <w:r>
              <w:t xml:space="preserve">Average broadacre farm business profit −70%</w:t>
            </w:r>
          </w:p>
        </w:tc>
        <w:tc>
          <w:tcPr/>
          <w:p>
            <w:pPr>
              <w:pStyle w:val="Compact"/>
              <w:jc w:val="left"/>
            </w:pPr>
            <w:r>
              <w:t xml:space="preserve">“Average broadacre farm business profit to fall by 70% driven by lower revenue and higher input prices.”</w:t>
            </w:r>
          </w:p>
        </w:tc>
        <w:tc>
          <w:tcPr/>
          <w:p>
            <w:pPr>
              <w:pStyle w:val="Compact"/>
              <w:jc w:val="left"/>
            </w:pPr>
            <w:r>
              <w:t xml:space="preserve">ABARES Ag Commodities June 2026</w:t>
            </w:r>
          </w:p>
        </w:tc>
        <w:tc>
          <w:tcPr/>
          <w:p>
            <w:pPr>
              <w:pStyle w:val="Compact"/>
              <w:jc w:val="left"/>
            </w:pPr>
            <w:r>
              <w:t xml:space="preserve">as T1</w:t>
            </w:r>
          </w:p>
        </w:tc>
        <w:tc>
          <w:tcPr/>
          <w:p>
            <w:pPr>
              <w:pStyle w:val="Compact"/>
              <w:jc w:val="left"/>
            </w:pPr>
            <w:r>
              <w:t xml:space="preserve">2026-08-01</w:t>
            </w:r>
          </w:p>
        </w:tc>
        <w:tc>
          <w:tcPr/>
          <w:p>
            <w:pPr>
              <w:pStyle w:val="Compact"/>
              <w:jc w:val="left"/>
            </w:pPr>
            <w:r>
              <w:t xml:space="preserve">1</w:t>
            </w:r>
          </w:p>
        </w:tc>
        <w:tc>
          <w:tcPr/>
          <w:p>
            <w:pPr>
              <w:pStyle w:val="Compact"/>
              <w:jc w:val="left"/>
            </w:pPr>
            <w:r>
              <w:t xml:space="preserve">A</w:t>
            </w:r>
          </w:p>
        </w:tc>
      </w:tr>
      <w:tr>
        <w:tc>
          <w:tcPr/>
          <w:p>
            <w:pPr>
              <w:pStyle w:val="Compact"/>
              <w:jc w:val="left"/>
            </w:pPr>
            <w:r>
              <w:t xml:space="preserve">T4</w:t>
            </w:r>
          </w:p>
        </w:tc>
        <w:tc>
          <w:tcPr/>
          <w:p>
            <w:pPr>
              <w:pStyle w:val="Compact"/>
              <w:jc w:val="left"/>
            </w:pPr>
            <w:r>
              <w:t xml:space="preserve">Crop production value −8% to $50.9bn; crop exports −10% to $37.0bn, volumes offset by higher prices</w:t>
            </w:r>
          </w:p>
        </w:tc>
        <w:tc>
          <w:tcPr/>
          <w:p>
            <w:pPr>
              <w:pStyle w:val="Compact"/>
              <w:jc w:val="left"/>
            </w:pPr>
            <w:r>
              <w:t xml:space="preserve">“Total value of Australian crop production to fall by 8% in 2026–27 to $50.9 billion. Value of crop exports to fall by 10% to $37.0 billion as lower volumes are expected to offset higher prices. Domestic grain prices to rise in 2026–27”</w:t>
            </w:r>
          </w:p>
        </w:tc>
        <w:tc>
          <w:tcPr/>
          <w:p>
            <w:pPr>
              <w:pStyle w:val="Compact"/>
              <w:jc w:val="left"/>
            </w:pPr>
            <w:r>
              <w:t xml:space="preserve">ABARES Ag Commodities June 2026</w:t>
            </w:r>
          </w:p>
        </w:tc>
        <w:tc>
          <w:tcPr/>
          <w:p>
            <w:pPr>
              <w:pStyle w:val="Compact"/>
              <w:jc w:val="left"/>
            </w:pPr>
            <w:r>
              <w:t xml:space="preserve">as T1</w:t>
            </w:r>
          </w:p>
        </w:tc>
        <w:tc>
          <w:tcPr/>
          <w:p>
            <w:pPr>
              <w:pStyle w:val="Compact"/>
              <w:jc w:val="left"/>
            </w:pPr>
            <w:r>
              <w:t xml:space="preserve">2026-08-01</w:t>
            </w:r>
          </w:p>
        </w:tc>
        <w:tc>
          <w:tcPr/>
          <w:p>
            <w:pPr>
              <w:pStyle w:val="Compact"/>
              <w:jc w:val="left"/>
            </w:pPr>
            <w:r>
              <w:t xml:space="preserve">1</w:t>
            </w:r>
          </w:p>
        </w:tc>
        <w:tc>
          <w:tcPr/>
          <w:p>
            <w:pPr>
              <w:pStyle w:val="Compact"/>
              <w:jc w:val="left"/>
            </w:pPr>
            <w:r>
              <w:t xml:space="preserve">A</w:t>
            </w:r>
          </w:p>
        </w:tc>
      </w:tr>
      <w:tr>
        <w:tc>
          <w:tcPr/>
          <w:p>
            <w:pPr>
              <w:pStyle w:val="Compact"/>
              <w:jc w:val="left"/>
            </w:pPr>
            <w:r>
              <w:t xml:space="preserve">T5</w:t>
            </w:r>
          </w:p>
        </w:tc>
        <w:tc>
          <w:tcPr/>
          <w:p>
            <w:pPr>
              <w:pStyle w:val="Compact"/>
              <w:jc w:val="left"/>
            </w:pPr>
            <w:r>
              <w:t xml:space="preserve">Livestock and livestock product value −2% to $47bn; exports −7% to $38bn</w:t>
            </w:r>
          </w:p>
        </w:tc>
        <w:tc>
          <w:tcPr/>
          <w:p>
            <w:pPr>
              <w:pStyle w:val="Compact"/>
              <w:jc w:val="left"/>
            </w:pPr>
            <w:r>
              <w:t xml:space="preserve">“Gross value of livestock and livestock product production to fall by 2% to $47 billion in 2026–27.”</w:t>
            </w:r>
            <w:r>
              <w:t xml:space="preserve"> </w:t>
            </w:r>
            <w:r>
              <w:t xml:space="preserve">/</w:t>
            </w:r>
            <w:r>
              <w:t xml:space="preserve"> </w:t>
            </w:r>
            <w:r>
              <w:t xml:space="preserve">“Value of livestock and livestock product exports to fall by 7% in 2026–27 to $38 billion.”</w:t>
            </w:r>
          </w:p>
        </w:tc>
        <w:tc>
          <w:tcPr/>
          <w:p>
            <w:pPr>
              <w:pStyle w:val="Compact"/>
              <w:jc w:val="left"/>
            </w:pPr>
            <w:r>
              <w:t xml:space="preserve">ABARES Ag Commodities June 2026</w:t>
            </w:r>
          </w:p>
        </w:tc>
        <w:tc>
          <w:tcPr/>
          <w:p>
            <w:pPr>
              <w:pStyle w:val="Compact"/>
              <w:jc w:val="left"/>
            </w:pPr>
            <w:r>
              <w:t xml:space="preserve">as T1</w:t>
            </w:r>
          </w:p>
        </w:tc>
        <w:tc>
          <w:tcPr/>
          <w:p>
            <w:pPr>
              <w:pStyle w:val="Compact"/>
              <w:jc w:val="left"/>
            </w:pPr>
            <w:r>
              <w:t xml:space="preserve">2026-08-01</w:t>
            </w:r>
          </w:p>
        </w:tc>
        <w:tc>
          <w:tcPr/>
          <w:p>
            <w:pPr>
              <w:pStyle w:val="Compact"/>
              <w:jc w:val="left"/>
            </w:pPr>
            <w:r>
              <w:t xml:space="preserve">1</w:t>
            </w:r>
          </w:p>
        </w:tc>
        <w:tc>
          <w:tcPr/>
          <w:p>
            <w:pPr>
              <w:pStyle w:val="Compact"/>
              <w:jc w:val="left"/>
            </w:pPr>
            <w:r>
              <w:t xml:space="preserve">B</w:t>
            </w:r>
          </w:p>
        </w:tc>
      </w:tr>
      <w:tr>
        <w:tc>
          <w:tcPr/>
          <w:p>
            <w:pPr>
              <w:pStyle w:val="Compact"/>
              <w:jc w:val="left"/>
            </w:pPr>
            <w:r>
              <w:t xml:space="preserve">T6</w:t>
            </w:r>
          </w:p>
        </w:tc>
        <w:tc>
          <w:tcPr/>
          <w:p>
            <w:pPr>
              <w:pStyle w:val="Compact"/>
              <w:jc w:val="left"/>
            </w:pPr>
            <w:r>
              <w:t xml:space="preserve">Global grains and oilseeds production at a record high in 2025–26</w:t>
            </w:r>
          </w:p>
        </w:tc>
        <w:tc>
          <w:tcPr/>
          <w:p>
            <w:pPr>
              <w:pStyle w:val="Compact"/>
              <w:jc w:val="left"/>
            </w:pPr>
            <w:r>
              <w:t xml:space="preserve">“Total global grains and oilseeds production is expected to reach a new record high in 2025–26.”</w:t>
            </w:r>
          </w:p>
        </w:tc>
        <w:tc>
          <w:tcPr/>
          <w:p>
            <w:pPr>
              <w:pStyle w:val="Compact"/>
              <w:jc w:val="left"/>
            </w:pPr>
            <w:r>
              <w:t xml:space="preserve">ABARES Ag Commodities June 2026</w:t>
            </w:r>
          </w:p>
        </w:tc>
        <w:tc>
          <w:tcPr/>
          <w:p>
            <w:pPr>
              <w:pStyle w:val="Compact"/>
              <w:jc w:val="left"/>
            </w:pPr>
            <w:r>
              <w:t xml:space="preserve">as T1</w:t>
            </w:r>
          </w:p>
        </w:tc>
        <w:tc>
          <w:tcPr/>
          <w:p>
            <w:pPr>
              <w:pStyle w:val="Compact"/>
              <w:jc w:val="left"/>
            </w:pPr>
            <w:r>
              <w:t xml:space="preserve">2026-08-01</w:t>
            </w:r>
          </w:p>
        </w:tc>
        <w:tc>
          <w:tcPr/>
          <w:p>
            <w:pPr>
              <w:pStyle w:val="Compact"/>
              <w:jc w:val="left"/>
            </w:pPr>
            <w:r>
              <w:t xml:space="preserve">1</w:t>
            </w:r>
          </w:p>
        </w:tc>
        <w:tc>
          <w:tcPr/>
          <w:p>
            <w:pPr>
              <w:pStyle w:val="Compact"/>
              <w:jc w:val="left"/>
            </w:pPr>
            <w:r>
              <w:t xml:space="preserve">B</w:t>
            </w:r>
          </w:p>
        </w:tc>
      </w:tr>
      <w:tr>
        <w:tc>
          <w:tcPr/>
          <w:p>
            <w:pPr>
              <w:pStyle w:val="Compact"/>
              <w:jc w:val="left"/>
            </w:pPr>
            <w:r>
              <w:t xml:space="preserve">T7</w:t>
            </w:r>
          </w:p>
        </w:tc>
        <w:tc>
          <w:tcPr/>
          <w:p>
            <w:pPr>
              <w:pStyle w:val="Compact"/>
              <w:jc w:val="left"/>
            </w:pPr>
            <w:r>
              <w:t xml:space="preserve">Current crop forecast is 4% above the 10-year average and the 7th largest on record</w:t>
            </w:r>
          </w:p>
        </w:tc>
        <w:tc>
          <w:tcPr/>
          <w:p>
            <w:pPr>
              <w:pStyle w:val="Compact"/>
              <w:jc w:val="left"/>
            </w:pPr>
            <w:r>
              <w:t xml:space="preserve">“winter crop production is expected to remain 4% higher than the 10-year average in 2026–27 and would be the 7th largest winter crop on record”</w:t>
            </w:r>
          </w:p>
        </w:tc>
        <w:tc>
          <w:tcPr/>
          <w:p>
            <w:pPr>
              <w:pStyle w:val="Compact"/>
              <w:jc w:val="left"/>
            </w:pPr>
            <w:r>
              <w:t xml:space="preserve">ABARES Crop Report June 2026</w:t>
            </w:r>
          </w:p>
        </w:tc>
        <w:tc>
          <w:tcPr/>
          <w:p>
            <w:pPr>
              <w:pStyle w:val="Compact"/>
              <w:jc w:val="left"/>
            </w:pPr>
            <w:r>
              <w:t xml:space="preserve">see C21</w:t>
            </w:r>
          </w:p>
        </w:tc>
        <w:tc>
          <w:tcPr/>
          <w:p>
            <w:pPr>
              <w:pStyle w:val="Compact"/>
              <w:jc w:val="left"/>
            </w:pPr>
            <w:r>
              <w:t xml:space="preserve">2026-08-01</w:t>
            </w:r>
          </w:p>
        </w:tc>
        <w:tc>
          <w:tcPr/>
          <w:p>
            <w:pPr>
              <w:pStyle w:val="Compact"/>
              <w:jc w:val="left"/>
            </w:pPr>
            <w:r>
              <w:t xml:space="preserve">1</w:t>
            </w:r>
          </w:p>
        </w:tc>
        <w:tc>
          <w:tcPr/>
          <w:p>
            <w:pPr>
              <w:pStyle w:val="Compact"/>
              <w:jc w:val="left"/>
            </w:pPr>
            <w:r>
              <w:t xml:space="preserve">A</w:t>
            </w:r>
          </w:p>
        </w:tc>
      </w:tr>
      <w:tr>
        <w:tc>
          <w:tcPr/>
          <w:p>
            <w:pPr>
              <w:pStyle w:val="Compact"/>
              <w:jc w:val="left"/>
            </w:pPr>
            <w:r>
              <w:t xml:space="preserve">T8</w:t>
            </w:r>
          </w:p>
        </w:tc>
        <w:tc>
          <w:tcPr/>
          <w:p>
            <w:pPr>
              <w:pStyle w:val="Compact"/>
              <w:jc w:val="left"/>
            </w:pPr>
            <w:r>
              <w:t xml:space="preserve">National Bushfire Recovery Fund $2bn, plus $691.2m through existing disaster support mechanisms</w:t>
            </w:r>
          </w:p>
        </w:tc>
        <w:tc>
          <w:tcPr/>
          <w:p>
            <w:pPr>
              <w:pStyle w:val="Compact"/>
              <w:jc w:val="left"/>
            </w:pPr>
            <w:r>
              <w:t xml:space="preserve">“On 6 January 2020, the Prime Minister announced the establishment of the National Bushfire Recovery Agency (NBRA) and the $2 billion National Bushfire Recovery Fund.”</w:t>
            </w:r>
            <w:r>
              <w:t xml:space="preserve"> </w:t>
            </w:r>
            <w:r>
              <w:t xml:space="preserve">/</w:t>
            </w:r>
            <w:r>
              <w:t xml:space="preserve"> </w:t>
            </w:r>
            <w:r>
              <w:t xml:space="preserve">“As well as the commitment of $2 billion for the Fund, the Australian Government has also provided an additional $691.2 million in funding through other existing disaster support funding mechanisms (for example, disaster recovery payments and allowances for individuals).”</w:t>
            </w:r>
          </w:p>
        </w:tc>
        <w:tc>
          <w:tcPr/>
          <w:p>
            <w:pPr>
              <w:pStyle w:val="Compact"/>
              <w:jc w:val="left"/>
            </w:pPr>
            <w:r>
              <w:t xml:space="preserve">ANAO, Administration of the National Bushfire Recovery Agency</w:t>
            </w:r>
          </w:p>
        </w:tc>
        <w:tc>
          <w:tcPr/>
          <w:p>
            <w:pPr>
              <w:pStyle w:val="Compact"/>
              <w:jc w:val="left"/>
            </w:pPr>
            <w:r>
              <w:t xml:space="preserve">https://www.anao.gov.au/work/performance-audit/administration-the-national-bushfire-recovery-agency</w:t>
            </w:r>
          </w:p>
        </w:tc>
        <w:tc>
          <w:tcPr/>
          <w:p>
            <w:pPr>
              <w:pStyle w:val="Compact"/>
              <w:jc w:val="left"/>
            </w:pPr>
            <w:r>
              <w:t xml:space="preserve">2026-08-01</w:t>
            </w:r>
          </w:p>
        </w:tc>
        <w:tc>
          <w:tcPr/>
          <w:p>
            <w:pPr>
              <w:pStyle w:val="Compact"/>
              <w:jc w:val="left"/>
            </w:pPr>
            <w:r>
              <w:t xml:space="preserve">1</w:t>
            </w:r>
          </w:p>
        </w:tc>
        <w:tc>
          <w:tcPr/>
          <w:p>
            <w:pPr>
              <w:pStyle w:val="Compact"/>
              <w:jc w:val="left"/>
            </w:pPr>
            <w:r>
              <w:t xml:space="preserve">A</w:t>
            </w:r>
          </w:p>
        </w:tc>
      </w:tr>
      <w:tr>
        <w:tc>
          <w:tcPr/>
          <w:p>
            <w:pPr>
              <w:pStyle w:val="Compact"/>
              <w:jc w:val="left"/>
            </w:pPr>
            <w:r>
              <w:t xml:space="preserve">T9</w:t>
            </w:r>
          </w:p>
        </w:tc>
        <w:tc>
          <w:tcPr/>
          <w:p>
            <w:pPr>
              <w:pStyle w:val="Compact"/>
              <w:jc w:val="left"/>
            </w:pPr>
            <w:r>
              <w:t xml:space="preserve">Future Drought Fund $519.1m over 8 years</w:t>
            </w:r>
          </w:p>
        </w:tc>
        <w:tc>
          <w:tcPr/>
          <w:p>
            <w:pPr>
              <w:pStyle w:val="Compact"/>
              <w:jc w:val="left"/>
            </w:pPr>
            <w:r>
              <w:t xml:space="preserve">“invested a record $519.1 million in Future Drought Fund programs”</w:t>
            </w:r>
          </w:p>
        </w:tc>
        <w:tc>
          <w:tcPr/>
          <w:p>
            <w:pPr>
              <w:pStyle w:val="Compact"/>
              <w:jc w:val="left"/>
            </w:pPr>
            <w:r>
              <w:t xml:space="preserve">Prime Minister of Australia media release</w:t>
            </w:r>
          </w:p>
        </w:tc>
        <w:tc>
          <w:tcPr/>
          <w:p>
            <w:pPr>
              <w:pStyle w:val="Compact"/>
              <w:jc w:val="left"/>
            </w:pPr>
            <w:r>
              <w:t xml:space="preserve">https://www.pm.gov.au/media/519-million-boost-help-farmers-mitigate-impacts-drought</w:t>
            </w:r>
          </w:p>
        </w:tc>
        <w:tc>
          <w:tcPr/>
          <w:p>
            <w:pPr>
              <w:pStyle w:val="Compact"/>
              <w:jc w:val="left"/>
            </w:pPr>
            <w:r>
              <w:t xml:space="preserve">2026-08-01</w:t>
            </w:r>
          </w:p>
        </w:tc>
        <w:tc>
          <w:tcPr/>
          <w:p>
            <w:pPr>
              <w:pStyle w:val="Compact"/>
              <w:jc w:val="left"/>
            </w:pPr>
            <w:r>
              <w:t xml:space="preserve">1</w:t>
            </w:r>
          </w:p>
        </w:tc>
        <w:tc>
          <w:tcPr/>
          <w:p>
            <w:pPr>
              <w:pStyle w:val="Compact"/>
              <w:jc w:val="left"/>
            </w:pPr>
            <w:r>
              <w:t xml:space="preserve">A</w:t>
            </w:r>
          </w:p>
        </w:tc>
      </w:tr>
      <w:tr>
        <w:tc>
          <w:tcPr/>
          <w:p>
            <w:pPr>
              <w:pStyle w:val="Compact"/>
              <w:jc w:val="left"/>
            </w:pPr>
            <w:r>
              <w:t xml:space="preserve">T10</w:t>
            </w:r>
          </w:p>
        </w:tc>
        <w:tc>
          <w:tcPr/>
          <w:p>
            <w:pPr>
              <w:pStyle w:val="Compact"/>
              <w:jc w:val="left"/>
            </w:pPr>
            <w:r>
              <w:t xml:space="preserve">2018–19 response included $297m Drought Communities Programme Extension and $148.5m household support round</w:t>
            </w:r>
          </w:p>
        </w:tc>
        <w:tc>
          <w:tcPr/>
          <w:p>
            <w:pPr>
              <w:pStyle w:val="Compact"/>
              <w:jc w:val="left"/>
            </w:pPr>
            <w:r>
              <w:t xml:space="preserve">“$297 million was provided over four years from 2018-19 for the Drought Communities Programme Extension”</w:t>
            </w:r>
            <w:r>
              <w:t xml:space="preserve"> </w:t>
            </w:r>
            <w:r>
              <w:t xml:space="preserve">/</w:t>
            </w:r>
            <w:r>
              <w:t xml:space="preserve"> </w:t>
            </w:r>
            <w:r>
              <w:t xml:space="preserve">“$148.5 million for Round 2 of the Drought Community Support Initiative”</w:t>
            </w:r>
          </w:p>
        </w:tc>
        <w:tc>
          <w:tcPr/>
          <w:p>
            <w:pPr>
              <w:pStyle w:val="Compact"/>
              <w:jc w:val="left"/>
            </w:pPr>
            <w:r>
              <w:t xml:space="preserve">Commonwealth drought programme documentation</w:t>
            </w:r>
          </w:p>
        </w:tc>
        <w:tc>
          <w:tcPr/>
          <w:p>
            <w:pPr>
              <w:pStyle w:val="Compact"/>
              <w:jc w:val="left"/>
            </w:pPr>
            <w:r>
              <w:t xml:space="preserve">https://www.infrastructure.gov.au/territories-regions-cities/regional-australia/regional-and-community-programs/drought-programs</w:t>
            </w:r>
          </w:p>
        </w:tc>
        <w:tc>
          <w:tcPr/>
          <w:p>
            <w:pPr>
              <w:pStyle w:val="Compact"/>
              <w:jc w:val="left"/>
            </w:pPr>
            <w:r>
              <w:t xml:space="preserve">2026-08-01</w:t>
            </w:r>
          </w:p>
        </w:tc>
        <w:tc>
          <w:tcPr/>
          <w:p>
            <w:pPr>
              <w:pStyle w:val="Compact"/>
              <w:jc w:val="left"/>
            </w:pPr>
            <w:r>
              <w:t xml:space="preserve">2</w:t>
            </w:r>
          </w:p>
        </w:tc>
        <w:tc>
          <w:tcPr/>
          <w:p>
            <w:pPr>
              <w:pStyle w:val="Compact"/>
              <w:jc w:val="left"/>
            </w:pPr>
            <w:r>
              <w:t xml:space="preserve">B</w:t>
            </w:r>
          </w:p>
        </w:tc>
      </w:tr>
      <w:tr>
        <w:tc>
          <w:tcPr/>
          <w:p>
            <w:pPr>
              <w:pStyle w:val="Compact"/>
              <w:jc w:val="left"/>
            </w:pPr>
            <w:r>
              <w:t xml:space="preserve">T11</w:t>
            </w:r>
          </w:p>
        </w:tc>
        <w:tc>
          <w:tcPr/>
          <w:p>
            <w:pPr>
              <w:pStyle w:val="Compact"/>
              <w:jc w:val="left"/>
            </w:pPr>
            <w:r>
              <w:t xml:space="preserve">Farm Management Deposits are deductible when made, assessable when withdrawn; drought triggers early access</w:t>
            </w:r>
          </w:p>
        </w:tc>
        <w:tc>
          <w:tcPr/>
          <w:p>
            <w:pPr>
              <w:pStyle w:val="Compact"/>
              <w:jc w:val="left"/>
            </w:pPr>
            <w:r>
              <w:t xml:space="preserve">“If any FMDs that you have previously claimed as a tax deduction are repaid, they are treated as assessable income in the income year they’re made.”</w:t>
            </w:r>
            <w:r>
              <w:t xml:space="preserve"> </w:t>
            </w:r>
            <w:r>
              <w:t xml:space="preserve">/</w:t>
            </w:r>
            <w:r>
              <w:t xml:space="preserve"> </w:t>
            </w:r>
            <w:r>
              <w:t xml:space="preserve">“Funds must be held for at least 12 months unless extraordinary circumstances—like drought, natural disaster or severe personal hardship—require early access.”</w:t>
            </w:r>
          </w:p>
        </w:tc>
        <w:tc>
          <w:tcPr/>
          <w:p>
            <w:pPr>
              <w:pStyle w:val="Compact"/>
              <w:jc w:val="left"/>
            </w:pPr>
            <w:r>
              <w:t xml:space="preserve">Australian Taxation Office, FMD scheme</w:t>
            </w:r>
          </w:p>
        </w:tc>
        <w:tc>
          <w:tcPr/>
          <w:p>
            <w:pPr>
              <w:pStyle w:val="Compact"/>
              <w:jc w:val="left"/>
            </w:pPr>
            <w:r>
              <w:t xml:space="preserve">https://www.ato.gov.au/businesses-and-organisations/income-deductions-and-concessions/primary-producers/managing-varying-income/farm-management-deposits-scheme</w:t>
            </w:r>
          </w:p>
        </w:tc>
        <w:tc>
          <w:tcPr/>
          <w:p>
            <w:pPr>
              <w:pStyle w:val="Compact"/>
              <w:jc w:val="left"/>
            </w:pPr>
            <w:r>
              <w:t xml:space="preserve">2026-08-01</w:t>
            </w:r>
          </w:p>
        </w:tc>
        <w:tc>
          <w:tcPr/>
          <w:p>
            <w:pPr>
              <w:pStyle w:val="Compact"/>
              <w:jc w:val="left"/>
            </w:pPr>
            <w:r>
              <w:t xml:space="preserve">1</w:t>
            </w:r>
          </w:p>
        </w:tc>
        <w:tc>
          <w:tcPr/>
          <w:p>
            <w:pPr>
              <w:pStyle w:val="Compact"/>
              <w:jc w:val="left"/>
            </w:pPr>
            <w:r>
              <w:t xml:space="preserve">A</w:t>
            </w:r>
          </w:p>
        </w:tc>
      </w:tr>
      <w:tr>
        <w:tc>
          <w:tcPr/>
          <w:p>
            <w:pPr>
              <w:pStyle w:val="Compact"/>
              <w:jc w:val="left"/>
            </w:pPr>
            <w:r>
              <w:t xml:space="preserve">T12</w:t>
            </w:r>
          </w:p>
        </w:tc>
        <w:tc>
          <w:tcPr/>
          <w:p>
            <w:pPr>
              <w:pStyle w:val="Compact"/>
              <w:jc w:val="left"/>
            </w:pPr>
            <w:r>
              <w:t xml:space="preserve">Agriculture value added is around 2% of GDP</w:t>
            </w:r>
          </w:p>
        </w:tc>
        <w:tc>
          <w:tcPr/>
          <w:p>
            <w:pPr>
              <w:pStyle w:val="Compact"/>
              <w:jc w:val="left"/>
            </w:pPr>
            <w:r>
              <w:t xml:space="preserve">“The latest value from 2024 is 2.04 percent”</w:t>
            </w:r>
            <w:r>
              <w:t xml:space="preserve"> </w:t>
            </w:r>
            <w:r>
              <w:t xml:space="preserve">(agriculture share of GDP); World Bank reports 2.22% for agriculture, forestry and fishing in 2024</w:t>
            </w:r>
          </w:p>
        </w:tc>
        <w:tc>
          <w:tcPr/>
          <w:p>
            <w:pPr>
              <w:pStyle w:val="Compact"/>
              <w:jc w:val="left"/>
            </w:pPr>
            <w:r>
              <w:t xml:space="preserve">World Bank via TheGlobalEconomy</w:t>
            </w:r>
          </w:p>
        </w:tc>
        <w:tc>
          <w:tcPr/>
          <w:p>
            <w:pPr>
              <w:pStyle w:val="Compact"/>
              <w:jc w:val="left"/>
            </w:pPr>
            <w:r>
              <w:t xml:space="preserve">https://www.theglobaleconomy.com/Australia/share_of_agriculture/</w:t>
            </w:r>
          </w:p>
        </w:tc>
        <w:tc>
          <w:tcPr/>
          <w:p>
            <w:pPr>
              <w:pStyle w:val="Compact"/>
              <w:jc w:val="left"/>
            </w:pPr>
            <w:r>
              <w:t xml:space="preserve">2026-08-01</w:t>
            </w:r>
          </w:p>
        </w:tc>
        <w:tc>
          <w:tcPr/>
          <w:p>
            <w:pPr>
              <w:pStyle w:val="Compact"/>
              <w:jc w:val="left"/>
            </w:pPr>
            <w:r>
              <w:t xml:space="preserve">2</w:t>
            </w:r>
          </w:p>
        </w:tc>
        <w:tc>
          <w:tcPr/>
          <w:p>
            <w:pPr>
              <w:pStyle w:val="Compact"/>
              <w:jc w:val="left"/>
            </w:pPr>
            <w:r>
              <w:t xml:space="preserve">A</w:t>
            </w:r>
          </w:p>
        </w:tc>
      </w:tr>
    </w:tbl>
    <w:bookmarkStart w:id="22" w:name="derived-treasurer-brief"/>
    <w:p>
      <w:pPr>
        <w:pStyle w:val="Heading3"/>
      </w:pPr>
      <w:r>
        <w:t xml:space="preserve">Derived — Treasurer brief</w:t>
      </w:r>
    </w:p>
    <w:tbl>
      <w:tblPr>
        <w:tblStyle w:val="Table"/>
        <w:tblW w:type="pct" w:w="5000"/>
        <w:tblLayout w:type="fixed"/>
        <w:tblLook w:firstRow="1" w:lastRow="0" w:firstColumn="0" w:lastColumn="0" w:noHBand="0" w:noVBand="0" w:val="0020"/>
      </w:tblPr>
      <w:tblGrid>
        <w:gridCol w:w="2436"/>
        <w:gridCol w:w="1827"/>
        <w:gridCol w:w="1827"/>
        <w:gridCol w:w="1827"/>
      </w:tblGrid>
      <w:tr>
        <w:trPr>
          <w:tblHeader w:val="on"/>
        </w:trPr>
        <w:tc>
          <w:tcPr/>
          <w:p>
            <w:pPr>
              <w:pStyle w:val="Compact"/>
              <w:jc w:val="left"/>
            </w:pPr>
            <w:r>
              <w:t xml:space="preserve">ID</w:t>
            </w:r>
          </w:p>
        </w:tc>
        <w:tc>
          <w:tcPr/>
          <w:p>
            <w:pPr>
              <w:pStyle w:val="Compact"/>
              <w:jc w:val="left"/>
            </w:pPr>
            <w:r>
              <w:t xml:space="preserve">Claim</w:t>
            </w:r>
          </w:p>
        </w:tc>
        <w:tc>
          <w:tcPr/>
          <w:p>
            <w:pPr>
              <w:pStyle w:val="Compact"/>
              <w:jc w:val="left"/>
            </w:pPr>
            <w:r>
              <w:t xml:space="preserve">Computation</w:t>
            </w:r>
          </w:p>
        </w:tc>
        <w:tc>
          <w:tcPr/>
          <w:p>
            <w:pPr>
              <w:pStyle w:val="Compact"/>
              <w:jc w:val="left"/>
            </w:pPr>
            <w:r>
              <w:t xml:space="preserve">Class</w:t>
            </w:r>
          </w:p>
        </w:tc>
      </w:tr>
      <w:tr>
        <w:tc>
          <w:tcPr/>
          <w:p>
            <w:pPr>
              <w:pStyle w:val="Compact"/>
              <w:jc w:val="left"/>
            </w:pPr>
            <w:r>
              <w:t xml:space="preserve">TD1</w:t>
            </w:r>
          </w:p>
        </w:tc>
        <w:tc>
          <w:tcPr/>
          <w:p>
            <w:pPr>
              <w:pStyle w:val="Compact"/>
              <w:jc w:val="left"/>
            </w:pPr>
            <w:r>
              <w:t xml:space="preserve">Southern states supply 40.3 Mt of the 54.5 Mt national forecast</w:t>
            </w:r>
          </w:p>
        </w:tc>
        <w:tc>
          <w:tcPr/>
          <w:p>
            <w:pPr>
              <w:pStyle w:val="Compact"/>
              <w:jc w:val="left"/>
            </w:pPr>
            <w:r>
              <w:t xml:space="preserve">WA 21.5 + Vic 9.7 + SA 9.1 = 40.3 Mt (C25, C26)</w:t>
            </w:r>
          </w:p>
        </w:tc>
        <w:tc>
          <w:tcPr/>
          <w:p>
            <w:pPr>
              <w:pStyle w:val="Compact"/>
              <w:jc w:val="left"/>
            </w:pPr>
            <w:r>
              <w:t xml:space="preserve">A</w:t>
            </w:r>
          </w:p>
        </w:tc>
      </w:tr>
      <w:tr>
        <w:tc>
          <w:tcPr/>
          <w:p>
            <w:pPr>
              <w:pStyle w:val="Compact"/>
              <w:jc w:val="left"/>
            </w:pPr>
            <w:r>
              <w:t xml:space="preserve">TD2</w:t>
            </w:r>
          </w:p>
        </w:tc>
        <w:tc>
          <w:tcPr/>
          <w:p>
            <w:pPr>
              <w:pStyle w:val="Compact"/>
              <w:jc w:val="left"/>
            </w:pPr>
            <w:r>
              <w:t xml:space="preserve">Scenario B: a 20% southern haircut takes the national crop to ~46–48 Mt</w:t>
            </w:r>
          </w:p>
        </w:tc>
        <w:tc>
          <w:tcPr/>
          <w:p>
            <w:pPr>
              <w:pStyle w:val="Compact"/>
              <w:jc w:val="left"/>
            </w:pPr>
            <w:r>
              <w:t xml:space="preserve">40.3 × 0.20 = 8.1 Mt; 54.5 − 8.1 = 46.4 Mt</w:t>
            </w:r>
          </w:p>
        </w:tc>
        <w:tc>
          <w:tcPr/>
          <w:p>
            <w:pPr>
              <w:pStyle w:val="Compact"/>
              <w:jc w:val="left"/>
            </w:pPr>
            <w:r>
              <w:t xml:space="preserve">A (judgement — the 15–25% yield-loss range is an assumption, not a modelled elasticity)</w:t>
            </w:r>
          </w:p>
        </w:tc>
      </w:tr>
      <w:tr>
        <w:tc>
          <w:tcPr/>
          <w:p>
            <w:pPr>
              <w:pStyle w:val="Compact"/>
              <w:jc w:val="left"/>
            </w:pPr>
            <w:r>
              <w:t xml:space="preserve">TD3</w:t>
            </w:r>
          </w:p>
        </w:tc>
        <w:tc>
          <w:tcPr/>
          <w:p>
            <w:pPr>
              <w:pStyle w:val="Compact"/>
              <w:jc w:val="left"/>
            </w:pPr>
            <w:r>
              <w:t xml:space="preserve">Scenario C: a 35% southern haircut takes it below 40 Mt</w:t>
            </w:r>
          </w:p>
        </w:tc>
        <w:tc>
          <w:tcPr/>
          <w:p>
            <w:pPr>
              <w:pStyle w:val="Compact"/>
              <w:jc w:val="left"/>
            </w:pPr>
            <w:r>
              <w:t xml:space="preserve">40.3 × 0.35 = 14.1 Mt; 54.5 − 14.1 = 40.4 Mt, before further northern losses</w:t>
            </w:r>
          </w:p>
        </w:tc>
        <w:tc>
          <w:tcPr/>
          <w:p>
            <w:pPr>
              <w:pStyle w:val="Compact"/>
              <w:jc w:val="left"/>
            </w:pPr>
            <w:r>
              <w:t xml:space="preserve">A (judgement, as TD2)</w:t>
            </w:r>
          </w:p>
        </w:tc>
      </w:tr>
      <w:tr>
        <w:tc>
          <w:tcPr/>
          <w:p>
            <w:pPr>
              <w:pStyle w:val="Compact"/>
              <w:jc w:val="left"/>
            </w:pPr>
            <w:r>
              <w:t xml:space="preserve">TD4</w:t>
            </w:r>
          </w:p>
        </w:tc>
        <w:tc>
          <w:tcPr/>
          <w:p>
            <w:pPr>
              <w:pStyle w:val="Compact"/>
              <w:jc w:val="left"/>
            </w:pPr>
            <w:r>
              <w:t xml:space="preserve">Farm GDP was ~3.6% of GDP in 2002–03</w:t>
            </w:r>
          </w:p>
        </w:tc>
        <w:tc>
          <w:tcPr/>
          <w:p>
            <w:pPr>
              <w:pStyle w:val="Compact"/>
              <w:jc w:val="left"/>
            </w:pPr>
            <w:r>
              <w:t xml:space="preserve">Treasury: farm GDP −24.8% subtracted 0.9pp from growth → 0.9 ÷ 0.248 = 3.63%</w:t>
            </w:r>
          </w:p>
        </w:tc>
        <w:tc>
          <w:tcPr/>
          <w:p>
            <w:pPr>
              <w:pStyle w:val="Compact"/>
              <w:jc w:val="left"/>
            </w:pPr>
            <w:r>
              <w:t xml:space="preserve">A</w:t>
            </w:r>
          </w:p>
        </w:tc>
      </w:tr>
      <w:tr>
        <w:tc>
          <w:tcPr/>
          <w:p>
            <w:pPr>
              <w:pStyle w:val="Compact"/>
              <w:jc w:val="left"/>
            </w:pPr>
            <w:r>
              <w:t xml:space="preserve">TD5</w:t>
            </w:r>
          </w:p>
        </w:tc>
        <w:tc>
          <w:tcPr/>
          <w:p>
            <w:pPr>
              <w:pStyle w:val="Compact"/>
              <w:jc w:val="left"/>
            </w:pPr>
            <w:r>
              <w:t xml:space="preserve">The same proportional collapse today would subtract ~0.5pp</w:t>
            </w:r>
          </w:p>
        </w:tc>
        <w:tc>
          <w:tcPr/>
          <w:p>
            <w:pPr>
              <w:pStyle w:val="Compact"/>
              <w:jc w:val="left"/>
            </w:pPr>
            <w:r>
              <w:t xml:space="preserve">0.248 × 2.04% = 0.51pp, using the 2024 agriculture share (T12)</w:t>
            </w:r>
          </w:p>
        </w:tc>
        <w:tc>
          <w:tcPr/>
          <w:p>
            <w:pPr>
              <w:pStyle w:val="Compact"/>
              <w:jc w:val="left"/>
            </w:pPr>
            <w:r>
              <w:t xml:space="preserve">A</w:t>
            </w:r>
          </w:p>
        </w:tc>
      </w:tr>
      <w:tr>
        <w:tc>
          <w:tcPr/>
          <w:p>
            <w:pPr>
              <w:pStyle w:val="Compact"/>
              <w:jc w:val="left"/>
            </w:pPr>
            <w:r>
              <w:t xml:space="preserve">TD6</w:t>
            </w:r>
          </w:p>
        </w:tc>
        <w:tc>
          <w:tcPr/>
          <w:p>
            <w:pPr>
              <w:pStyle w:val="Compact"/>
              <w:jc w:val="left"/>
            </w:pPr>
            <w:r>
              <w:t xml:space="preserve">The Black Summer response was roughly five times the Future Drought Fund commitment</w:t>
            </w:r>
          </w:p>
        </w:tc>
        <w:tc>
          <w:tcPr/>
          <w:p>
            <w:pPr>
              <w:pStyle w:val="Compact"/>
              <w:jc w:val="left"/>
            </w:pPr>
            <w:r>
              <w:t xml:space="preserve">(2,000 + 691.2) ÷ 519.1 = 5.2×</w:t>
            </w:r>
          </w:p>
        </w:tc>
        <w:tc>
          <w:tcPr/>
          <w:p>
            <w:pPr>
              <w:pStyle w:val="Compact"/>
              <w:jc w:val="left"/>
            </w:pPr>
            <w:r>
              <w:t xml:space="preserve">B</w:t>
            </w:r>
          </w:p>
        </w:tc>
      </w:tr>
      <w:tr>
        <w:tc>
          <w:tcPr/>
          <w:p>
            <w:pPr>
              <w:pStyle w:val="Compact"/>
              <w:jc w:val="left"/>
            </w:pPr>
            <w:r>
              <w:t xml:space="preserve">TD7</w:t>
            </w:r>
          </w:p>
        </w:tc>
        <w:tc>
          <w:tcPr/>
          <w:p>
            <w:pPr>
              <w:pStyle w:val="Compact"/>
              <w:jc w:val="left"/>
            </w:pPr>
            <w:r>
              <w:t xml:space="preserve">Scenario weights 45 / 40 / 15</w:t>
            </w:r>
          </w:p>
        </w:tc>
        <w:tc>
          <w:tcPr/>
          <w:p>
            <w:pPr>
              <w:pStyle w:val="Compact"/>
              <w:jc w:val="left"/>
            </w:pPr>
            <w:r>
              <w:t xml:space="preserve">Judgement. Anchored on: 16 of 24 historical El Niño events fell in the top IOD tercile (D11), BoM’s statement that models favour a positive IOD, and the historical frequency of 2002/2006-severity outcomes (roughly 3 of 24 events). Not a model output.</w:t>
            </w:r>
          </w:p>
        </w:tc>
        <w:tc>
          <w:tcPr/>
          <w:p>
            <w:pPr>
              <w:pStyle w:val="Compact"/>
              <w:jc w:val="left"/>
            </w:pPr>
            <w:r>
              <w:t xml:space="preserve">A (judgement)</w:t>
            </w:r>
          </w:p>
        </w:tc>
      </w:tr>
      <w:tr>
        <w:tc>
          <w:tcPr/>
          <w:p>
            <w:pPr>
              <w:pStyle w:val="Compact"/>
              <w:jc w:val="left"/>
            </w:pPr>
            <w:r>
              <w:t xml:space="preserve">TD9</w:t>
            </w:r>
          </w:p>
        </w:tc>
        <w:tc>
          <w:tcPr/>
          <w:p>
            <w:pPr>
              <w:pStyle w:val="Compact"/>
              <w:jc w:val="left"/>
            </w:pPr>
            <w:r>
              <w:t xml:space="preserve">El Niño adds a further ~15% from here; more than half the peak-to-trough loss is already booked</w:t>
            </w:r>
          </w:p>
        </w:tc>
        <w:tc>
          <w:tcPr/>
          <w:p>
            <w:pPr>
              <w:pStyle w:val="Compact"/>
              <w:jc w:val="left"/>
            </w:pPr>
            <w:r>
              <w:t xml:space="preserve">Implied 2025–26 base = 54.5 ÷ (1 − 0.21) = 69.0 Mt. Scenario B = 46.4 Mt (TD2). Incremental fall from 54.5 = 14.8%. Peak-to-trough = (69.0 − 46.4) ÷ 69.0 = 32.7%; the booked 21% is 64% of that.</w:t>
            </w:r>
          </w:p>
        </w:tc>
        <w:tc>
          <w:tcPr/>
          <w:p>
            <w:pPr>
              <w:pStyle w:val="Compact"/>
              <w:jc w:val="left"/>
            </w:pPr>
            <w:r>
              <w:t xml:space="preserve">A</w:t>
            </w:r>
          </w:p>
        </w:tc>
      </w:tr>
      <w:tr>
        <w:tc>
          <w:tcPr/>
          <w:p>
            <w:pPr>
              <w:pStyle w:val="Compact"/>
              <w:jc w:val="left"/>
            </w:pPr>
            <w:r>
              <w:t xml:space="preserve">TD8</w:t>
            </w:r>
          </w:p>
        </w:tc>
        <w:tc>
          <w:tcPr/>
          <w:p>
            <w:pPr>
              <w:pStyle w:val="Compact"/>
              <w:jc w:val="left"/>
            </w:pPr>
            <w:r>
              <w:t xml:space="preserve">Incremental GDP effect of 0.1–0.3pp (Scenario B), 0.3–0.5pp (Scenario C)</w:t>
            </w:r>
          </w:p>
        </w:tc>
        <w:tc>
          <w:tcPr/>
          <w:p>
            <w:pPr>
              <w:pStyle w:val="Compact"/>
              <w:jc w:val="left"/>
            </w:pPr>
            <w:r>
              <w:t xml:space="preserve">Scaled from TD5: Scenario C approximates a 2002-magnitude farm-sector collapse at today’s sector share (~0.5pp); Scenario B is roughly half that. Order-of-magnitude only.</w:t>
            </w:r>
          </w:p>
        </w:tc>
        <w:tc>
          <w:tcPr/>
          <w:p>
            <w:pPr>
              <w:pStyle w:val="Compact"/>
              <w:jc w:val="left"/>
            </w:pPr>
            <w:r>
              <w:t xml:space="preserve">A (judgement)</w:t>
            </w:r>
          </w:p>
        </w:tc>
      </w:tr>
    </w:tbl>
    <w:p>
      <w:r>
        <w:pict>
          <v:rect style="width:0;height:1.5pt" o:hralign="center" o:hrstd="t" o:hr="t"/>
        </w:pict>
      </w:r>
    </w:p>
    <w:bookmarkEnd w:id="22"/>
    <w:bookmarkEnd w:id="23"/>
    <w:bookmarkStart w:id="24" w:name="deviation-log"/>
    <w:p>
      <w:pPr>
        <w:pStyle w:val="Heading2"/>
      </w:pPr>
      <w:r>
        <w:t xml:space="preserve">Deviation log</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jc w:val="left"/>
            </w:pPr>
            <w:r>
              <w:t xml:space="preserve">Check</w:t>
            </w:r>
          </w:p>
        </w:tc>
        <w:tc>
          <w:tcPr/>
          <w:p>
            <w:pPr>
              <w:pStyle w:val="Compact"/>
              <w:jc w:val="left"/>
            </w:pPr>
            <w:r>
              <w:t xml:space="preserve">Result</w:t>
            </w:r>
          </w:p>
        </w:tc>
      </w:tr>
      <w:tr>
        <w:tc>
          <w:tcPr/>
          <w:p>
            <w:pPr>
              <w:pStyle w:val="Compact"/>
              <w:jc w:val="left"/>
            </w:pPr>
            <w:r>
              <w:t xml:space="preserve">CPC Niño 3.4 value</w:t>
            </w:r>
          </w:p>
        </w:tc>
        <w:tc>
          <w:tcPr/>
          <w:p>
            <w:pPr>
              <w:pStyle w:val="Compact"/>
              <w:jc w:val="left"/>
            </w:pPr>
            <w:r>
              <w:rPr>
                <w:b/>
                <w:bCs/>
              </w:rPr>
              <w:t xml:space="preserve">Deviation found and corrected.</w:t>
            </w:r>
            <w:r>
              <w:t xml:space="preserve"> </w:t>
            </w:r>
            <w:r>
              <w:t xml:space="preserve">An initial automated extraction of the CPC discussion returned</w:t>
            </w:r>
            <w:r>
              <w:t xml:space="preserve"> </w:t>
            </w:r>
            <w:r>
              <w:t xml:space="preserve">“+1.2 °C”</w:t>
            </w:r>
            <w:r>
              <w:t xml:space="preserve"> </w:t>
            </w:r>
            <w:r>
              <w:t xml:space="preserve">without noting it was a</w:t>
            </w:r>
            <w:r>
              <w:t xml:space="preserve"> </w:t>
            </w:r>
            <w:r>
              <w:rPr>
                <w:i/>
                <w:iCs/>
              </w:rPr>
              <w:t xml:space="preserve">relative</w:t>
            </w:r>
            <w:r>
              <w:t xml:space="preserve"> </w:t>
            </w:r>
            <w:r>
              <w:t xml:space="preserve">index, while a secondary source reported</w:t>
            </w:r>
            <w:r>
              <w:t xml:space="preserve"> </w:t>
            </w:r>
            <w:r>
              <w:t xml:space="preserve">“+2.1 °C”</w:t>
            </w:r>
            <w:r>
              <w:t xml:space="preserve"> </w:t>
            </w:r>
            <w:r>
              <w:t xml:space="preserve">for the same period. Both were correct against different definitions. Resolved by reading the source PDF directly (C4, C5) and cross-checking the raw weekly data file (C6). The distinction is now explained in Section 1.2 rather than buried.</w:t>
            </w:r>
          </w:p>
        </w:tc>
      </w:tr>
      <w:tr>
        <w:tc>
          <w:tcPr/>
          <w:p>
            <w:pPr>
              <w:pStyle w:val="Compact"/>
              <w:jc w:val="left"/>
            </w:pPr>
            <w:r>
              <w:t xml:space="preserve">IRI/CPC model plume probabilities</w:t>
            </w:r>
          </w:p>
        </w:tc>
        <w:tc>
          <w:tcPr/>
          <w:p>
            <w:pPr>
              <w:pStyle w:val="Compact"/>
              <w:jc w:val="left"/>
            </w:pPr>
            <w:r>
              <w:rPr>
                <w:b/>
                <w:bCs/>
              </w:rPr>
              <w:t xml:space="preserve">Claim dropped.</w:t>
            </w:r>
            <w:r>
              <w:t xml:space="preserve"> </w:t>
            </w:r>
            <w:r>
              <w:t xml:space="preserve">An automated read of the IRI Quick Look returned 100% El Niño probabilities for six consecutive seasons and</w:t>
            </w:r>
            <w:r>
              <w:t xml:space="preserve"> </w:t>
            </w:r>
            <w:r>
              <w:t xml:space="preserve">“23 of 26 models”</w:t>
            </w:r>
            <w:r>
              <w:t xml:space="preserve">. These could not be confirmed against the source and are not used. Probability statements rest on C2 and C3 (CPC) and C11 (BoM) instead.</w:t>
            </w:r>
          </w:p>
        </w:tc>
      </w:tr>
      <w:tr>
        <w:tc>
          <w:tcPr/>
          <w:p>
            <w:pPr>
              <w:pStyle w:val="Compact"/>
              <w:jc w:val="left"/>
            </w:pPr>
            <w:r>
              <w:t xml:space="preserve">Gridded temperature composite</w:t>
            </w:r>
          </w:p>
        </w:tc>
        <w:tc>
          <w:tcPr/>
          <w:p>
            <w:pPr>
              <w:pStyle w:val="Compact"/>
              <w:jc w:val="left"/>
            </w:pPr>
            <w:r>
              <w:rPr>
                <w:b/>
                <w:bCs/>
              </w:rPr>
              <w:t xml:space="preserve">Dataset excluded.</w:t>
            </w:r>
            <w:r>
              <w:t xml:space="preserve"> </w:t>
            </w:r>
            <w:r>
              <w:t xml:space="preserve">GHCN-CAMS SON temperature composites gave a</w:t>
            </w:r>
            <w:r>
              <w:t xml:space="preserve"> </w:t>
            </w:r>
            <w:r>
              <w:rPr>
                <w:i/>
                <w:iCs/>
              </w:rPr>
              <w:t xml:space="preserve">negative</w:t>
            </w:r>
            <w:r>
              <w:t xml:space="preserve"> </w:t>
            </w:r>
            <w:r>
              <w:t xml:space="preserve">anomaly for northern Australia, contradicting the BoM station-based series (D8). Attributed to sparse station density; the gridded temperature product is not used for any quoted figure or chart.</w:t>
            </w:r>
          </w:p>
        </w:tc>
      </w:tr>
      <w:tr>
        <w:tc>
          <w:tcPr/>
          <w:p>
            <w:pPr>
              <w:pStyle w:val="Compact"/>
              <w:jc w:val="left"/>
            </w:pPr>
            <w:r>
              <w:t xml:space="preserve">Arid-cell skew in gridded rainfall</w:t>
            </w:r>
          </w:p>
        </w:tc>
        <w:tc>
          <w:tcPr/>
          <w:p>
            <w:pPr>
              <w:pStyle w:val="Compact"/>
              <w:jc w:val="left"/>
            </w:pPr>
            <w:r>
              <w:rPr>
                <w:b/>
                <w:bCs/>
              </w:rPr>
              <w:t xml:space="preserve">Method changed.</w:t>
            </w:r>
            <w:r>
              <w:t xml:space="preserve"> </w:t>
            </w:r>
            <w:r>
              <w:t xml:space="preserve">Composite mean of percent-of-baseline gave northern Australia 63% with only 42% of events below normal — internally inconsistent, caused by right-skew in low-rainfall cells and by NaN cells counting as</w:t>
            </w:r>
            <w:r>
              <w:t xml:space="preserve"> </w:t>
            </w:r>
            <w:r>
              <w:t xml:space="preserve">“not dry”</w:t>
            </w:r>
            <w:r>
              <w:t xml:space="preserve">. Switched to per-cell median and explicit NaN masking; results (56%, 83%) then agree with the BoM state series.</w:t>
            </w:r>
          </w:p>
        </w:tc>
      </w:tr>
      <w:tr>
        <w:tc>
          <w:tcPr/>
          <w:p>
            <w:pPr>
              <w:pStyle w:val="Compact"/>
              <w:jc w:val="left"/>
            </w:pPr>
            <w:r>
              <w:t xml:space="preserve">IOD threshold</w:t>
            </w:r>
          </w:p>
        </w:tc>
        <w:tc>
          <w:tcPr/>
          <w:p>
            <w:pPr>
              <w:pStyle w:val="Compact"/>
              <w:jc w:val="left"/>
            </w:pPr>
            <w:r>
              <w:rPr>
                <w:b/>
                <w:bCs/>
              </w:rPr>
              <w:t xml:space="preserve">Method changed, then corrected.</w:t>
            </w:r>
            <w:r>
              <w:t xml:space="preserve"> </w:t>
            </w:r>
            <w:r>
              <w:t xml:space="preserve">The conventional +0.4 °C threshold applied to the HadISST long DMI selected only 9 of 76 spring seasons, leaving n=1 in the</w:t>
            </w:r>
            <w:r>
              <w:t xml:space="preserve"> </w:t>
            </w:r>
            <w:r>
              <w:t xml:space="preserve">“positive IOD, no El Niño”</w:t>
            </w:r>
            <w:r>
              <w:t xml:space="preserve"> </w:t>
            </w:r>
            <w:r>
              <w:t xml:space="preserve">cell. The first version switched to terciles to fill that cell.</w:t>
            </w:r>
            <w:r>
              <w:t xml:space="preserve"> </w:t>
            </w:r>
            <w:r>
              <w:rPr>
                <w:b/>
                <w:bCs/>
              </w:rPr>
              <w:t xml:space="preserve">That was an error</w:t>
            </w:r>
            <w:r>
              <w:t xml:space="preserve">: the series is centred at −0.17 °C, so the upper tercile begins at −0.06 °C, and a group labelled</w:t>
            </w:r>
            <w:r>
              <w:t xml:space="preserve"> </w:t>
            </w:r>
            <w:r>
              <w:t xml:space="preserve">“upper-third IOD”</w:t>
            </w:r>
            <w:r>
              <w:t xml:space="preserve"> </w:t>
            </w:r>
            <w:r>
              <w:t xml:space="preserve">was in substance</w:t>
            </w:r>
            <w:r>
              <w:t xml:space="preserve"> </w:t>
            </w:r>
            <w:r>
              <w:t xml:space="preserve">“IOD above about zero”</w:t>
            </w:r>
            <w:r>
              <w:t xml:space="preserve"> </w:t>
            </w:r>
            <w:r>
              <w:t xml:space="preserve">— which a reader would take to mean a positive IOD event. Reverted to the +0.4 °C threshold on 2026-08-03, with the unusable cell omitted rather than estimated, and a robustness check added at +0.25 °C. Direction of the finding unchanged; southern magnitudes fall (Victoria 32 pp → 22 pp; Murray-Darling 25 pp → 10 pp) and Queensland’s small gap becomes no gap (13 pp → 1 pp), which sharpens the north-south contrast. Discovered while building the gridded maps.</w:t>
            </w:r>
          </w:p>
        </w:tc>
      </w:tr>
      <w:tr>
        <w:tc>
          <w:tcPr/>
          <w:p>
            <w:pPr>
              <w:pStyle w:val="Compact"/>
              <w:jc w:val="left"/>
            </w:pPr>
            <w:r>
              <w:t xml:space="preserve">Gridded IOD map</w:t>
            </w:r>
          </w:p>
        </w:tc>
        <w:tc>
          <w:tcPr/>
          <w:p>
            <w:pPr>
              <w:pStyle w:val="Compact"/>
              <w:jc w:val="left"/>
            </w:pPr>
            <w:r>
              <w:rPr>
                <w:b/>
                <w:bCs/>
              </w:rPr>
              <w:t xml:space="preserve">Figure dropped.</w:t>
            </w:r>
            <w:r>
              <w:t xml:space="preserve"> </w:t>
            </w:r>
            <w:r>
              <w:t xml:space="preserve">A three-panel map splitting the spring composite by IOD state was built and discarded: AGCD ends at 2020, leaving only 7 positive-IOD events, and the per-cell difference field was dominated by noise in the arid interior. The area-averaged signal is consistent (Victoria −19 pp, SW WA −15 pp on the same data), so the finding stands — the map was simply the wrong instrument for it, and the bar chart is retained instead.</w:t>
            </w:r>
          </w:p>
        </w:tc>
      </w:tr>
      <w:tr>
        <w:tc>
          <w:tcPr/>
          <w:p>
            <w:pPr>
              <w:pStyle w:val="Compact"/>
              <w:jc w:val="left"/>
            </w:pPr>
            <w:r>
              <w:t xml:space="preserve">Gridded product</w:t>
            </w:r>
          </w:p>
        </w:tc>
        <w:tc>
          <w:tcPr/>
          <w:p>
            <w:pPr>
              <w:pStyle w:val="Compact"/>
              <w:jc w:val="left"/>
            </w:pPr>
            <w:r>
              <w:rPr>
                <w:b/>
                <w:bCs/>
              </w:rPr>
              <w:t xml:space="preserve">Upgraded.</w:t>
            </w:r>
            <w:r>
              <w:t xml:space="preserve"> </w:t>
            </w:r>
            <w:r>
              <w:t xml:space="preserve">The first version mapped GPCC v2020 at 1°. Replaced on 2026-08-03 with BoM AGCD v1 at 5 km (aggregated to 0.25°), which is the authoritative Australian analysis and carries temperature as well as rainfall. GPCC retained as an independent cross-check; the two agree within 2–6 pp on every region box. AGCD interpolates over ocean rather than masking it — an ocean-coloured first draft caught this — so a Natural Earth land mask is now applied before any plotting or averaging.</w:t>
            </w:r>
          </w:p>
        </w:tc>
      </w:tr>
      <w:tr>
        <w:tc>
          <w:tcPr/>
          <w:p>
            <w:pPr>
              <w:pStyle w:val="Compact"/>
              <w:jc w:val="left"/>
            </w:pPr>
            <w:r>
              <w:t xml:space="preserve">Chart title accuracy</w:t>
            </w:r>
          </w:p>
        </w:tc>
        <w:tc>
          <w:tcPr/>
          <w:p>
            <w:pPr>
              <w:pStyle w:val="Compact"/>
              <w:jc w:val="left"/>
            </w:pPr>
            <w:r>
              <w:rPr>
                <w:b/>
                <w:bCs/>
              </w:rPr>
              <w:t xml:space="preserve">Corrected.</w:t>
            </w:r>
            <w:r>
              <w:t xml:space="preserve"> </w:t>
            </w:r>
            <w:r>
              <w:t xml:space="preserve">A draft figure title read</w:t>
            </w:r>
            <w:r>
              <w:t xml:space="preserve"> </w:t>
            </w:r>
            <w:r>
              <w:t xml:space="preserve">“Most of the heat in a modern El Niño spring is not the El Niño”</w:t>
            </w:r>
            <w:r>
              <w:t xml:space="preserve">. D10 shows the ENSO share exceeds half in 6 of 8 regions, so the claim was false for most of the country. Title changed to state the size of the baseline shift instead.</w:t>
            </w:r>
          </w:p>
        </w:tc>
      </w:tr>
      <w:tr>
        <w:tc>
          <w:tcPr/>
          <w:p>
            <w:pPr>
              <w:pStyle w:val="Compact"/>
              <w:jc w:val="left"/>
            </w:pPr>
            <w:r>
              <w:t xml:space="preserve">BoM source access</w:t>
            </w:r>
          </w:p>
        </w:tc>
        <w:tc>
          <w:tcPr/>
          <w:p>
            <w:pPr>
              <w:pStyle w:val="Compact"/>
              <w:jc w:val="left"/>
            </w:pPr>
            <w:r>
              <w:rPr>
                <w:rStyle w:val="VerbatimChar"/>
              </w:rPr>
              <w:t xml:space="preserve">www.bom.gov.au</w:t>
            </w:r>
            <w:r>
              <w:t xml:space="preserve"> </w:t>
            </w:r>
            <w:r>
              <w:t xml:space="preserve">returns HTTP 403 to non-browser clients. All BoM material retrieved from</w:t>
            </w:r>
            <w:r>
              <w:t xml:space="preserve"> </w:t>
            </w:r>
            <w:r>
              <w:rPr>
                <w:rStyle w:val="VerbatimChar"/>
              </w:rPr>
              <w:t xml:space="preserve">reg.bom.gov.au</w:t>
            </w:r>
            <w:r>
              <w:t xml:space="preserve">, which serves identical files. Noted in Section 10.</w:t>
            </w:r>
          </w:p>
        </w:tc>
      </w:tr>
    </w:tbl>
    <w:bookmarkEnd w:id="24"/>
    <w:bookmarkStart w:id="25" w:name="outstanding"/>
    <w:p>
      <w:pPr>
        <w:pStyle w:val="Heading2"/>
      </w:pPr>
      <w:r>
        <w:t xml:space="preserve">Outstanding</w:t>
      </w:r>
    </w:p>
    <w:p>
      <w:pPr>
        <w:pStyle w:val="Compact"/>
        <w:numPr>
          <w:ilvl w:val="0"/>
          <w:numId w:val="1001"/>
        </w:numPr>
      </w:pPr>
      <w:r>
        <w:t xml:space="preserve">C33 (2006–07 economic impact) rests on secondary reporting of ABARE/ABS</w:t>
      </w:r>
      <w:r>
        <w:t xml:space="preserve"> </w:t>
      </w:r>
      <w:r>
        <w:t xml:space="preserve">estimates rather than the primary documents. Class B; worth replacing with the</w:t>
      </w:r>
      <w:r>
        <w:t xml:space="preserve"> </w:t>
      </w:r>
      <w:r>
        <w:t xml:space="preserve">ABARE Australian Commodities issue or the ABS national accounts release before</w:t>
      </w:r>
      <w:r>
        <w:t xml:space="preserve"> </w:t>
      </w:r>
      <w:r>
        <w:t xml:space="preserve">any of this is republished.</w:t>
      </w:r>
    </w:p>
    <w:p>
      <w:pPr>
        <w:pStyle w:val="Compact"/>
        <w:numPr>
          <w:ilvl w:val="0"/>
          <w:numId w:val="1001"/>
        </w:numPr>
      </w:pPr>
      <w:r>
        <w:t xml:space="preserve">C39 (storage percentages) is a Tier 3 source. Primary data are available at</w:t>
      </w:r>
      <w:r>
        <w:t xml:space="preserve"> </w:t>
      </w:r>
      <w:r>
        <w:rPr>
          <w:rStyle w:val="VerbatimChar"/>
        </w:rPr>
        <w:t xml:space="preserve">mdbwip.bom.gov.au</w:t>
      </w:r>
      <w:r>
        <w:t xml:space="preserve"> </w:t>
      </w:r>
      <w:r>
        <w:t xml:space="preserve">and should be substituted if these numbers become</w:t>
      </w:r>
      <w:r>
        <w:t xml:space="preserve"> </w:t>
      </w:r>
      <w:r>
        <w:t xml:space="preserve">load-bearing.</w:t>
      </w:r>
    </w:p>
    <w:p>
      <w:pPr>
        <w:pStyle w:val="Compact"/>
        <w:numPr>
          <w:ilvl w:val="0"/>
          <w:numId w:val="1001"/>
        </w:numPr>
      </w:pPr>
      <w:r>
        <w:t xml:space="preserve">No blind claim audit has been run. At T2 this is required for Class A claims;</w:t>
      </w:r>
      <w:r>
        <w:t xml:space="preserve"> </w:t>
      </w:r>
      <w:r>
        <w:t xml:space="preserve">it has not yet been done for this note.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pacing w:val="-10"/>
      <w:kern w:val="28"/>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pacing w:val="-10"/>
      <w:kern w:val="28"/>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W w:type="pct" w:w="5000"/>
      <w:tblInd w:type="dxa" w:w="0"/>
      <w:tblCellMar>
        <w:top w:type="dxa" w:w="0"/>
        <w:left w:type="dxa" w:w="72"/>
        <w:bottom w:type="dxa" w:w="0"/>
        <w:right w:type="dxa" w:w="72"/>
      </w:tblCellMar>
    </w:tblPr>
    <w:rPr>
      <w:rFonts w:ascii="Arial Narrow" w:hAnsi="Arial Narrow"/>
      <w:sz w:val="18"/>
      <w:szCs w:val="18"/>
    </w:r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shd w:val="clear" w:fill="f1f3f5"/>
    </w:pPr>
  </w:style>
  <w:style w:type="character" w:customStyle="1" w:styleId="KeywordTok">
    <w:name w:val="KeywordTok"/>
    <w:basedOn w:val="VerbatimChar"/>
    <w:rPr>
      <w:b/>
      <w:color w:val="003b4f"/>
      <w:shd w:val="clear" w:fill="f1f3f5"/>
    </w:rPr>
  </w:style>
  <w:style w:type="character" w:customStyle="1" w:styleId="DataTypeTok">
    <w:name w:val="DataTypeTok"/>
    <w:basedOn w:val="VerbatimChar"/>
    <w:rPr>
      <w:color w:val="ad0000"/>
      <w:shd w:val="clear" w:fill="f1f3f5"/>
    </w:rPr>
  </w:style>
  <w:style w:type="character" w:customStyle="1" w:styleId="DecValTok">
    <w:name w:val="DecValTok"/>
    <w:basedOn w:val="VerbatimChar"/>
    <w:rPr>
      <w:color w:val="ad0000"/>
      <w:shd w:val="clear" w:fill="f1f3f5"/>
    </w:rPr>
  </w:style>
  <w:style w:type="character" w:customStyle="1" w:styleId="BaseNTok">
    <w:name w:val="BaseNTok"/>
    <w:basedOn w:val="VerbatimChar"/>
    <w:rPr>
      <w:color w:val="ad0000"/>
      <w:shd w:val="clear" w:fill="f1f3f5"/>
    </w:rPr>
  </w:style>
  <w:style w:type="character" w:customStyle="1" w:styleId="FloatTok">
    <w:name w:val="FloatTok"/>
    <w:basedOn w:val="VerbatimChar"/>
    <w:rPr>
      <w:color w:val="ad0000"/>
      <w:shd w:val="clear" w:fill="f1f3f5"/>
    </w:rPr>
  </w:style>
  <w:style w:type="character" w:customStyle="1" w:styleId="ConstantTok">
    <w:name w:val="ConstantTok"/>
    <w:basedOn w:val="VerbatimChar"/>
    <w:rPr>
      <w:color w:val="8f5902"/>
      <w:shd w:val="clear" w:fill="f1f3f5"/>
    </w:rPr>
  </w:style>
  <w:style w:type="character" w:customStyle="1" w:styleId="CharTok">
    <w:name w:val="CharTok"/>
    <w:basedOn w:val="VerbatimChar"/>
    <w:rPr>
      <w:color w:val="20794d"/>
      <w:shd w:val="clear" w:fill="f1f3f5"/>
    </w:rPr>
  </w:style>
  <w:style w:type="character" w:customStyle="1" w:styleId="SpecialCharTok">
    <w:name w:val="SpecialCharTok"/>
    <w:basedOn w:val="VerbatimChar"/>
    <w:rPr>
      <w:color w:val="5e5e5e"/>
      <w:shd w:val="clear" w:fill="f1f3f5"/>
    </w:rPr>
  </w:style>
  <w:style w:type="character" w:customStyle="1" w:styleId="StringTok">
    <w:name w:val="StringTok"/>
    <w:basedOn w:val="VerbatimChar"/>
    <w:rPr>
      <w:color w:val="20794d"/>
      <w:shd w:val="clear" w:fill="f1f3f5"/>
    </w:rPr>
  </w:style>
  <w:style w:type="character" w:customStyle="1" w:styleId="VerbatimStringTok">
    <w:name w:val="VerbatimStringTok"/>
    <w:basedOn w:val="VerbatimChar"/>
    <w:rPr>
      <w:color w:val="20794d"/>
      <w:shd w:val="clear" w:fill="f1f3f5"/>
    </w:rPr>
  </w:style>
  <w:style w:type="character" w:customStyle="1" w:styleId="SpecialStringTok">
    <w:name w:val="SpecialStringTok"/>
    <w:basedOn w:val="VerbatimChar"/>
    <w:rPr>
      <w:color w:val="20794d"/>
      <w:shd w:val="clear" w:fill="f1f3f5"/>
    </w:rPr>
  </w:style>
  <w:style w:type="character" w:customStyle="1" w:styleId="ImportTok">
    <w:name w:val="ImportTok"/>
    <w:basedOn w:val="VerbatimChar"/>
    <w:rPr>
      <w:color w:val="00769e"/>
      <w:shd w:val="clear" w:fill="f1f3f5"/>
    </w:rPr>
  </w:style>
  <w:style w:type="character" w:customStyle="1" w:styleId="CommentTok">
    <w:name w:val="CommentTok"/>
    <w:basedOn w:val="VerbatimChar"/>
    <w:rPr>
      <w:color w:val="5e5e5e"/>
      <w:shd w:val="clear" w:fill="f1f3f5"/>
    </w:rPr>
  </w:style>
  <w:style w:type="character" w:customStyle="1" w:styleId="DocumentationTok">
    <w:name w:val="DocumentationTok"/>
    <w:basedOn w:val="VerbatimChar"/>
    <w:rPr>
      <w:i/>
      <w:color w:val="5e5e5e"/>
      <w:shd w:val="clear" w:fill="f1f3f5"/>
    </w:rPr>
  </w:style>
  <w:style w:type="character" w:customStyle="1" w:styleId="AnnotationTok">
    <w:name w:val="AnnotationTok"/>
    <w:basedOn w:val="VerbatimChar"/>
    <w:rPr>
      <w:color w:val="5e5e5e"/>
      <w:shd w:val="clear" w:fill="f1f3f5"/>
    </w:rPr>
  </w:style>
  <w:style w:type="character" w:customStyle="1" w:styleId="CommentVarTok">
    <w:name w:val="CommentVarTok"/>
    <w:basedOn w:val="VerbatimChar"/>
    <w:rPr>
      <w:i/>
      <w:color w:val="5e5e5e"/>
      <w:shd w:val="clear" w:fill="f1f3f5"/>
    </w:rPr>
  </w:style>
  <w:style w:type="character" w:customStyle="1" w:styleId="OtherTok">
    <w:name w:val="OtherTok"/>
    <w:basedOn w:val="VerbatimChar"/>
    <w:rPr>
      <w:color w:val="003b4f"/>
      <w:shd w:val="clear" w:fill="f1f3f5"/>
    </w:rPr>
  </w:style>
  <w:style w:type="character" w:customStyle="1" w:styleId="FunctionTok">
    <w:name w:val="FunctionTok"/>
    <w:basedOn w:val="VerbatimChar"/>
    <w:rPr>
      <w:color w:val="4758ab"/>
      <w:shd w:val="clear" w:fill="f1f3f5"/>
    </w:rPr>
  </w:style>
  <w:style w:type="character" w:customStyle="1" w:styleId="VariableTok">
    <w:name w:val="VariableTok"/>
    <w:basedOn w:val="VerbatimChar"/>
    <w:rPr>
      <w:color w:val="111111"/>
      <w:shd w:val="clear" w:fill="f1f3f5"/>
    </w:rPr>
  </w:style>
  <w:style w:type="character" w:customStyle="1" w:styleId="ControlFlowTok">
    <w:name w:val="ControlFlowTok"/>
    <w:basedOn w:val="VerbatimChar"/>
    <w:rPr>
      <w:b/>
      <w:color w:val="003b4f"/>
      <w:shd w:val="clear" w:fill="f1f3f5"/>
    </w:rPr>
  </w:style>
  <w:style w:type="character" w:customStyle="1" w:styleId="OperatorTok">
    <w:name w:val="OperatorTok"/>
    <w:basedOn w:val="VerbatimChar"/>
    <w:rPr>
      <w:color w:val="5e5e5e"/>
      <w:shd w:val="clear" w:fill="f1f3f5"/>
    </w:rPr>
  </w:style>
  <w:style w:type="character" w:customStyle="1" w:styleId="BuiltInTok">
    <w:name w:val="BuiltInTok"/>
    <w:basedOn w:val="VerbatimChar"/>
    <w:rPr>
      <w:color w:val="003b4f"/>
      <w:shd w:val="clear" w:fill="f1f3f5"/>
    </w:rPr>
  </w:style>
  <w:style w:type="character" w:customStyle="1" w:styleId="ExtensionTok">
    <w:name w:val="ExtensionTok"/>
    <w:basedOn w:val="VerbatimChar"/>
    <w:rPr>
      <w:color w:val="003b4f"/>
      <w:shd w:val="clear" w:fill="f1f3f5"/>
    </w:rPr>
  </w:style>
  <w:style w:type="character" w:customStyle="1" w:styleId="PreprocessorTok">
    <w:name w:val="PreprocessorTok"/>
    <w:basedOn w:val="VerbatimChar"/>
    <w:rPr>
      <w:color w:val="ad0000"/>
      <w:shd w:val="clear" w:fill="f1f3f5"/>
    </w:rPr>
  </w:style>
  <w:style w:type="character" w:customStyle="1" w:styleId="AttributeTok">
    <w:name w:val="AttributeTok"/>
    <w:basedOn w:val="VerbatimChar"/>
    <w:rPr>
      <w:color w:val="657422"/>
      <w:shd w:val="clear" w:fill="f1f3f5"/>
    </w:rPr>
  </w:style>
  <w:style w:type="character" w:customStyle="1" w:styleId="RegionMarkerTok">
    <w:name w:val="RegionMarkerTok"/>
    <w:basedOn w:val="VerbatimChar"/>
    <w:rPr>
      <w:color w:val="003b4f"/>
      <w:shd w:val="clear" w:fill="f1f3f5"/>
    </w:rPr>
  </w:style>
  <w:style w:type="character" w:customStyle="1" w:styleId="InformationTok">
    <w:name w:val="InformationTok"/>
    <w:basedOn w:val="VerbatimChar"/>
    <w:rPr>
      <w:color w:val="5e5e5e"/>
      <w:shd w:val="clear" w:fill="f1f3f5"/>
    </w:rPr>
  </w:style>
  <w:style w:type="character" w:customStyle="1" w:styleId="WarningTok">
    <w:name w:val="WarningTok"/>
    <w:basedOn w:val="VerbatimChar"/>
    <w:rPr>
      <w:i/>
      <w:color w:val="5e5e5e"/>
      <w:shd w:val="clear" w:fill="f1f3f5"/>
    </w:rPr>
  </w:style>
  <w:style w:type="character" w:customStyle="1" w:styleId="AlertTok">
    <w:name w:val="AlertTok"/>
    <w:basedOn w:val="VerbatimChar"/>
    <w:rPr>
      <w:color w:val="ad0000"/>
      <w:shd w:val="clear" w:fill="f1f3f5"/>
    </w:rPr>
  </w:style>
  <w:style w:type="character" w:customStyle="1" w:styleId="ErrorTok">
    <w:name w:val="ErrorTok"/>
    <w:basedOn w:val="VerbatimChar"/>
    <w:rPr>
      <w:color w:val="ad0000"/>
      <w:shd w:val="clear" w:fill="f1f3f5"/>
    </w:rPr>
  </w:style>
  <w:style w:type="character" w:customStyle="1" w:styleId="NormalTok">
    <w:name w:val="NormalTok"/>
    <w:basedOn w:val="VerbatimChar"/>
    <w:rPr>
      <w:color w:val="003b4f"/>
      <w:shd w:val="clear" w:fill="f1f3f5"/>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2026-08-06T08:55:50Z</dcterms:created>
  <dcterms:modified xsi:type="dcterms:W3CDTF">2026-08-06T08:55:50Z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iblio-config">
    <vt:lpwstr>True</vt:lpwstr>
  </property>
  <property fmtid="{D5CDD505-2E9C-101B-9397-08002B2CF9AE}" pid="3" name="bibliography">
    <vt:lpwstr/>
  </property>
  <property fmtid="{D5CDD505-2E9C-101B-9397-08002B2CF9AE}" pid="4" name="csl">
    <vt:lpwstr>../apa.csl</vt:lpwstr>
  </property>
  <property fmtid="{D5CDD505-2E9C-101B-9397-08002B2CF9AE}" pid="5" name="header-includes">
    <vt:lpwstr/>
  </property>
  <property fmtid="{D5CDD505-2E9C-101B-9397-08002B2CF9AE}" pid="6" name="include-after">
    <vt:lpwstr/>
  </property>
  <property fmtid="{D5CDD505-2E9C-101B-9397-08002B2CF9AE}" pid="7" name="include-before">
    <vt:lpwstr/>
  </property>
  <property fmtid="{D5CDD505-2E9C-101B-9397-08002B2CF9AE}" pid="8" name="labels">
    <vt:lpwstr/>
  </property>
  <property fmtid="{D5CDD505-2E9C-101B-9397-08002B2CF9AE}" pid="9" name="tbl-cap-location">
    <vt:lpwstr>bottom</vt:lpwstr>
  </property>
  <property fmtid="{D5CDD505-2E9C-101B-9397-08002B2CF9AE}" pid="10" name="toc-title">
    <vt:lpwstr>Table of contents</vt:lpwstr>
  </property>
</Properties>
</file>