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 Niño and the Budget: brief for the Treasurer</w:t>
      </w:r>
    </w:p>
    <w:p>
      <w:pPr>
        <w:pStyle w:val="Author"/>
      </w:pPr>
      <w:r>
        <w:t xml:space="preserve">ITK - Claude assisted research</w:t>
      </w:r>
    </w:p>
    <w:p>
      <w:pPr>
        <w:pStyle w:val="Date"/>
      </w:pPr>
      <w:r>
        <w:t xml:space="preserve">2026-08-03</w:t>
      </w:r>
    </w:p>
    <w:p>
      <w:pPr>
        <w:pStyle w:val="FirstParagraph"/>
      </w:pPr>
      <w:r>
        <w:rPr>
          <w:i/>
          <w:iCs/>
        </w:rPr>
        <w:t xml:space="preserve">Companion to the background note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el_nino.md</w:t>
      </w:r>
      <w:r>
        <w:rPr>
          <w:i/>
          <w:iCs/>
        </w:rPr>
        <w:t xml:space="preserve">, which carries the climate</w:t>
      </w:r>
      <w:r>
        <w:rPr>
          <w:i/>
          <w:iCs/>
        </w:rPr>
        <w:t xml:space="preserve"> </w:t>
      </w:r>
      <w:r>
        <w:rPr>
          <w:i/>
          <w:iCs/>
        </w:rPr>
        <w:t xml:space="preserve">evidence, the regional detail and the claim ledger. This brief covers only the</w:t>
      </w:r>
      <w:r>
        <w:rPr>
          <w:i/>
          <w:iCs/>
        </w:rPr>
        <w:t xml:space="preserve"> </w:t>
      </w:r>
      <w:r>
        <w:rPr>
          <w:i/>
          <w:iCs/>
        </w:rPr>
        <w:t xml:space="preserve">fiscal and macroeconomic question.</w:t>
      </w:r>
    </w:p>
    <w:p>
      <w:r>
        <w:pict>
          <v:rect style="width:0;height:1.5pt" o:hralign="center" o:hrstd="t" o:hr="t"/>
        </w:pict>
      </w:r>
    </w:p>
    <w:bookmarkStart w:id="20" w:name="the-answer-in-one-paragraph"/>
    <w:p>
      <w:pPr>
        <w:pStyle w:val="Heading1"/>
      </w:pPr>
      <w:r>
        <w:t xml:space="preserve">The answer in one paragraph</w:t>
      </w:r>
    </w:p>
    <w:p>
      <w:pPr>
        <w:pStyle w:val="FirstParagraph"/>
      </w:pPr>
      <w:r>
        <w:t xml:space="preserve">El Niño is relevant to the Budget, but less than the historical record implies and</w:t>
      </w:r>
      <w:r>
        <w:t xml:space="preserve"> </w:t>
      </w:r>
      <w:r>
        <w:t xml:space="preserve">through a different channel than most people expect. The revenue side is small:</w:t>
      </w:r>
      <w:r>
        <w:t xml:space="preserve"> </w:t>
      </w:r>
      <w:r>
        <w:t xml:space="preserve">agriculture is about 2% of GDP, and a 21% fall in the winter crop is already in</w:t>
      </w:r>
      <w:r>
        <w:t xml:space="preserve"> </w:t>
      </w:r>
      <w:r>
        <w:t xml:space="preserve">ABARES’ published forecasts — booked before the event was declared, and caused by</w:t>
      </w:r>
      <w:r>
        <w:t xml:space="preserve"> </w:t>
      </w:r>
      <w:r>
        <w:t xml:space="preserve">an autumn drought rather than by the Pacific. On our central downside the El Niño</w:t>
      </w:r>
      <w:r>
        <w:t xml:space="preserve"> </w:t>
      </w:r>
      <w:r>
        <w:t xml:space="preserve">adds a further 15% or so from here, meaning more than half the peak-to-trough</w:t>
      </w:r>
      <w:r>
        <w:t xml:space="preserve"> </w:t>
      </w:r>
      <w:r>
        <w:t xml:space="preserve">production loss is already in the numbers. The spending side is where the exposure</w:t>
      </w:r>
      <w:r>
        <w:t xml:space="preserve"> </w:t>
      </w:r>
      <w:r>
        <w:t xml:space="preserve">sits, and the largest single item is not drought assistance — it is bushfire. The Black Summer cost the Commonwealth more</w:t>
      </w:r>
      <w:r>
        <w:t xml:space="preserve"> </w:t>
      </w:r>
      <w:r>
        <w:t xml:space="preserve">than $2.5 billion in recovery funding, against a few hundred million for a</w:t>
      </w:r>
      <w:r>
        <w:t xml:space="preserve"> </w:t>
      </w:r>
      <w:r>
        <w:t xml:space="preserve">typical drought programme. Heat and fire risk are the parts of an El Niño that are</w:t>
      </w:r>
      <w:r>
        <w:t xml:space="preserve"> </w:t>
      </w:r>
      <w:r>
        <w:t xml:space="preserve">reliably delivered; the drought is not. Nothing needs to be provisioned before</w:t>
      </w:r>
      <w:r>
        <w:t xml:space="preserve"> </w:t>
      </w:r>
      <w:r>
        <w:t xml:space="preserve">MYEFO, but the decision inputs arrive in September and October.</w:t>
      </w:r>
    </w:p>
    <w:p>
      <w:r>
        <w:pict>
          <v:rect style="width:0;height:1.5pt" o:hralign="center" o:hrstd="t" o:hr="t"/>
        </w:pict>
      </w:r>
    </w:p>
    <w:bookmarkEnd w:id="20"/>
    <w:bookmarkStart w:id="21" w:name="what-is-likely-to-happen"/>
    <w:p>
      <w:pPr>
        <w:pStyle w:val="Heading1"/>
      </w:pPr>
      <w:r>
        <w:t xml:space="preserve">1. What is likely to happen</w:t>
      </w:r>
    </w:p>
    <w:p>
      <w:pPr>
        <w:pStyle w:val="FirstParagraph"/>
      </w:pPr>
      <w:r>
        <w:t xml:space="preserve">The Pacific event is close to settled: the US Climate Prediction Center puts an</w:t>
      </w:r>
      <w:r>
        <w:t xml:space="preserve"> </w:t>
      </w:r>
      <w:r>
        <w:t xml:space="preserve">81% chance on a very strong El Niño in October–December</w:t>
      </w:r>
      <w:r>
        <w:t xml:space="preserve"> </w:t>
      </w:r>
      <w:r>
        <w:t xml:space="preserve">(NOAA Climate Prediction Center, 2026)</w:t>
      </w:r>
      <w:r>
        <w:t xml:space="preserve">. What is not settled is how much reaches Australia. On 24</w:t>
      </w:r>
      <w:r>
        <w:t xml:space="preserve"> </w:t>
      </w:r>
      <w:r>
        <w:t xml:space="preserve">events since 1951 the correlation between event strength and Australian spring</w:t>
      </w:r>
      <w:r>
        <w:t xml:space="preserve"> </w:t>
      </w:r>
      <w:r>
        <w:t xml:space="preserve">rainfall is effectively zero, so the size of the Pacific anomaly is not the</w:t>
      </w:r>
      <w:r>
        <w:t xml:space="preserve"> </w:t>
      </w:r>
      <w:r>
        <w:t xml:space="preserve">variable to plan on. The variable that matters is the Indian Ocean Dipole, which</w:t>
      </w:r>
      <w:r>
        <w:t xml:space="preserve"> </w:t>
      </w:r>
      <w:r>
        <w:t xml:space="preserve">determines whether the drying reaches the southern cropping belt, and which will</w:t>
      </w:r>
      <w:r>
        <w:t xml:space="preserve"> </w:t>
      </w:r>
      <w:r>
        <w:t xml:space="preserve">not resolve until September.</w:t>
      </w:r>
    </w:p>
    <w:p>
      <w:pPr>
        <w:pStyle w:val="BodyText"/>
      </w:pPr>
      <w:r>
        <w:t xml:space="preserve">That gives three outcomes. The weights are our judgement, informed by the</w:t>
      </w:r>
      <w:r>
        <w:t xml:space="preserve"> </w:t>
      </w:r>
      <w:r>
        <w:t xml:space="preserve">historical base rate and the current model guidance.</w:t>
      </w:r>
    </w:p>
    <w:p>
      <w:pPr>
        <w:pStyle w:val="BodyText"/>
      </w:pPr>
      <w:r>
        <w:rPr>
          <w:b/>
          <w:bCs/>
        </w:rPr>
        <w:t xml:space="preserve">Scenario A — the north and east stay dry, the south holds (≈45%).</w:t>
      </w:r>
      <w:r>
        <w:t xml:space="preserve"> </w:t>
      </w:r>
      <w:r>
        <w:t xml:space="preserve">No sustained</w:t>
      </w:r>
      <w:r>
        <w:t xml:space="preserve"> </w:t>
      </w:r>
      <w:r>
        <w:t xml:space="preserve">positive Indian Ocean Dipole. Queensland, the Northern Territory and northern NSW</w:t>
      </w:r>
      <w:r>
        <w:t xml:space="preserve"> </w:t>
      </w:r>
      <w:r>
        <w:t xml:space="preserve">have a dry spring, as they do in nearly every El Niño; Victoria, South Australia</w:t>
      </w:r>
      <w:r>
        <w:t xml:space="preserve"> </w:t>
      </w:r>
      <w:r>
        <w:t xml:space="preserve">and Western Australia finish below but close to normal — on the historical record</w:t>
      </w:r>
      <w:r>
        <w:t xml:space="preserve"> </w:t>
      </w:r>
      <w:r>
        <w:t xml:space="preserve">Victorian spring rainfall in El Niño years without a positive IOD averages 90% of</w:t>
      </w:r>
      <w:r>
        <w:t xml:space="preserve"> </w:t>
      </w:r>
      <w:r>
        <w:t xml:space="preserve">normal, and South Australia 81%. This is the 1997–98 pattern. Winter crop lands</w:t>
      </w:r>
      <w:r>
        <w:t xml:space="preserve"> </w:t>
      </w:r>
      <w:r>
        <w:t xml:space="preserve">near the current 54.5 Mt forecast. Incremental effect on the Budget: immaterial.</w:t>
      </w:r>
    </w:p>
    <w:p>
      <w:pPr>
        <w:pStyle w:val="BodyText"/>
      </w:pPr>
      <w:r>
        <w:rPr>
          <w:b/>
          <w:bCs/>
        </w:rPr>
        <w:t xml:space="preserve">Scenario B — positive Indian Ocean Dipole confirms, the southern spring fails</w:t>
      </w:r>
      <w:r>
        <w:rPr>
          <w:b/>
          <w:bCs/>
        </w:rPr>
        <w:t xml:space="preserve"> </w:t>
      </w:r>
      <w:r>
        <w:rPr>
          <w:b/>
          <w:bCs/>
        </w:rPr>
        <w:t xml:space="preserve">(≈40%).</w:t>
      </w:r>
      <w:r>
        <w:t xml:space="preserve"> </w:t>
      </w:r>
      <w:r>
        <w:t xml:space="preserve">A positive IOD takes Victorian spring rainfall from 90% of normal to</w:t>
      </w:r>
      <w:r>
        <w:t xml:space="preserve"> </w:t>
      </w:r>
      <w:r>
        <w:t xml:space="preserve">68%, and South Australia from 81% to 60%. The southern states supply 40.3 Mt of</w:t>
      </w:r>
      <w:r>
        <w:t xml:space="preserve"> </w:t>
      </w:r>
      <w:r>
        <w:t xml:space="preserve">the 54.5 Mt national forecast (WA 21.5, Vic 9.7, SA 9.1). A failed finishing</w:t>
      </w:r>
      <w:r>
        <w:t xml:space="preserve"> </w:t>
      </w:r>
      <w:r>
        <w:t xml:space="preserve">spring in that belt historically costs 15–25% of yield. A 20% haircut removes about 8 Mt, taking the national crop</w:t>
      </w:r>
      <w:r>
        <w:t xml:space="preserve"> </w:t>
      </w:r>
      <w:r>
        <w:t xml:space="preserve">to roughly 46–48 Mt. Gross value of agricultural production falls to somewhere</w:t>
      </w:r>
      <w:r>
        <w:t xml:space="preserve"> </w:t>
      </w:r>
      <w:r>
        <w:t xml:space="preserve">near $90 billion rather than the forecast $98.3 billion.</w:t>
      </w:r>
    </w:p>
    <w:p>
      <w:pPr>
        <w:pStyle w:val="BodyText"/>
      </w:pPr>
      <w:r>
        <w:rPr>
          <w:b/>
          <w:bCs/>
        </w:rPr>
        <w:t xml:space="preserve">Scenario C — compound event (≈15%).</w:t>
      </w:r>
      <w:r>
        <w:t xml:space="preserve"> </w:t>
      </w:r>
      <w:r>
        <w:t xml:space="preserve">Positive Dipole plus a hot, dry spring</w:t>
      </w:r>
      <w:r>
        <w:t xml:space="preserve"> </w:t>
      </w:r>
      <w:r>
        <w:t xml:space="preserve">across both halves of the country, on the 2002–03 or 2006–07 pattern. A 35% haircut</w:t>
      </w:r>
      <w:r>
        <w:t xml:space="preserve"> </w:t>
      </w:r>
      <w:r>
        <w:t xml:space="preserve">on the southern crop plus further northern losses takes the national crop below</w:t>
      </w:r>
      <w:r>
        <w:t xml:space="preserve"> </w:t>
      </w:r>
      <w:r>
        <w:t xml:space="preserve">40 Mt. This is also the scenario in which fire risk is highest, because it pairs</w:t>
      </w:r>
      <w:r>
        <w:t xml:space="preserve"> </w:t>
      </w:r>
      <w:r>
        <w:t xml:space="preserve">the rainfall deficit with the heat.</w:t>
      </w:r>
    </w:p>
    <w:p>
      <w:pPr>
        <w:pStyle w:val="BodyText"/>
      </w:pPr>
      <w:r>
        <w:t xml:space="preserve">Note what all three have in common: even Scenario C leaves Australian agriculture</w:t>
      </w:r>
      <w:r>
        <w:t xml:space="preserve"> </w:t>
      </w:r>
      <w:r>
        <w:t xml:space="preserve">well above where it sat in 2002 or 2006 in absolute terms. ABARES describes the</w:t>
      </w:r>
      <w:r>
        <w:t xml:space="preserve"> </w:t>
      </w:r>
      <w:r>
        <w:t xml:space="preserve">current 54.5 Mt forecast, already down 21%, as still 4% above the ten-year average</w:t>
      </w:r>
      <w:r>
        <w:t xml:space="preserve"> </w:t>
      </w:r>
      <w:r>
        <w:t xml:space="preserve">and the seventh largest winter crop on record</w:t>
      </w:r>
      <w:r>
        <w:t xml:space="preserve"> </w:t>
      </w:r>
      <w:r>
        <w:t xml:space="preserve">(ABARES, 2026b)</w:t>
      </w:r>
      <w:r>
        <w:t xml:space="preserve">. The sector</w:t>
      </w:r>
      <w:r>
        <w:t xml:space="preserve"> </w:t>
      </w:r>
      <w:r>
        <w:t xml:space="preserve">is falling from a high base, not into a hole.</w:t>
      </w:r>
    </w:p>
    <w:p>
      <w:r>
        <w:pict>
          <v:rect style="width:0;height:1.5pt" o:hralign="center" o:hrstd="t" o:hr="t"/>
        </w:pict>
      </w:r>
    </w:p>
    <w:bookmarkEnd w:id="21"/>
    <w:bookmarkStart w:id="22" w:name="what-it-does-to-the-economy"/>
    <w:p>
      <w:pPr>
        <w:pStyle w:val="Heading1"/>
      </w:pPr>
      <w:r>
        <w:t xml:space="preserve">2. What it does to the economy</w:t>
      </w:r>
    </w:p>
    <w:p>
      <w:pPr>
        <w:pStyle w:val="FirstParagraph"/>
      </w:pPr>
      <w:r>
        <w:t xml:space="preserve">Much of the effect is already published. ABARES’ June 2026 forecasts for 2026–27</w:t>
      </w:r>
      <w:r>
        <w:t xml:space="preserve"> </w:t>
      </w:r>
      <w:r>
        <w:t xml:space="preserve">(ABARES, 2026a)</w:t>
      </w:r>
      <w:r>
        <w:t xml:space="preserve">:</w:t>
      </w:r>
    </w:p>
    <w:p>
      <w:pPr>
        <w:pStyle w:val="BodyText"/>
      </w:pPr>
      <w:r>
        <w:rPr>
          <w:b/>
          <w:bCs/>
        </w:rPr>
        <w:t xml:space="preserve">ABARES forecasts for 2026–27, published June 2026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Measure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Forecast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Gross value of agricultural production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$98.3bn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Agricultural export value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$74.8bn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Crop production value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$50.9bn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Crop export value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$37.0bn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Livestock and livestock product value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$47bn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Average broadacre farm business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−70%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ABARES Agricultural Commodities Report, June Quarter 2026</w:t>
      </w:r>
      <w:r>
        <w:rPr>
          <w:i/>
          <w:iCs/>
        </w:rPr>
        <w:t xml:space="preserve"> </w:t>
      </w:r>
      <w:r>
        <w:rPr>
          <w:i/>
          <w:iCs/>
        </w:rPr>
        <w:t xml:space="preserve">(ABARES, 2026a)</w:t>
      </w:r>
    </w:p>
    <w:p>
      <w:pPr>
        <w:pStyle w:val="BodyText"/>
      </w:pPr>
      <w:r>
        <w:t xml:space="preserve">Three points for the macro forecast.</w:t>
      </w:r>
    </w:p>
    <w:p>
      <w:pPr>
        <w:pStyle w:val="BodyText"/>
      </w:pPr>
      <w:r>
        <w:rPr>
          <w:b/>
          <w:bCs/>
        </w:rPr>
        <w:t xml:space="preserve">The farm profit number is the one that matters, and it is not a GDP number.</w:t>
      </w:r>
      <w:r>
        <w:t xml:space="preserve"> </w:t>
      </w:r>
      <w:r>
        <w:t xml:space="preserve">A</w:t>
      </w:r>
      <w:r>
        <w:t xml:space="preserve"> </w:t>
      </w:r>
      <w:r>
        <w:t xml:space="preserve">70% fall in average broadacre farm business profit reflects revenue falling onto a</w:t>
      </w:r>
      <w:r>
        <w:t xml:space="preserve"> </w:t>
      </w:r>
      <w:r>
        <w:t xml:space="preserve">fixed and rising cost base — fuel and fertiliser prices are elevated. It is the</w:t>
      </w:r>
      <w:r>
        <w:t xml:space="preserve"> </w:t>
      </w:r>
      <w:r>
        <w:t xml:space="preserve">right indicator for farm-sector tax receipts and for rural credit stress. It is</w:t>
      </w:r>
      <w:r>
        <w:t xml:space="preserve"> </w:t>
      </w:r>
      <w:r>
        <w:t xml:space="preserve">not the right indicator for GDP, where the relevant measure is farm value added.</w:t>
      </w:r>
    </w:p>
    <w:p>
      <w:pPr>
        <w:pStyle w:val="BodyText"/>
      </w:pPr>
      <w:r>
        <w:rPr>
          <w:b/>
          <w:bCs/>
        </w:rPr>
        <w:t xml:space="preserve">The historical GDP rule of thumb overstates the effect today.</w:t>
      </w:r>
      <w:r>
        <w:t xml:space="preserve"> </w:t>
      </w:r>
      <w:r>
        <w:t xml:space="preserve">Treasury found</w:t>
      </w:r>
      <w:r>
        <w:t xml:space="preserve"> </w:t>
      </w:r>
      <w:r>
        <w:t xml:space="preserve">the 2002–03 drought cut farm GDP by 24.8% and subtracted 0.9 percentage points</w:t>
      </w:r>
      <w:r>
        <w:t xml:space="preserve"> </w:t>
      </w:r>
      <w:r>
        <w:t xml:space="preserve">from growth</w:t>
      </w:r>
      <w:r>
        <w:t xml:space="preserve"> </w:t>
      </w:r>
      <w:r>
        <w:t xml:space="preserve">(Australian Treasury, 2004)</w:t>
      </w:r>
      <w:r>
        <w:t xml:space="preserve">. That arithmetic implies farm GDP was around</w:t>
      </w:r>
      <w:r>
        <w:t xml:space="preserve"> </w:t>
      </w:r>
      <w:r>
        <w:t xml:space="preserve">3.6% of the economy at the time. Agriculture’s value-added share is now closer to</w:t>
      </w:r>
      <w:r>
        <w:t xml:space="preserve"> </w:t>
      </w:r>
      <w:r>
        <w:t xml:space="preserve">2%. The same proportional collapse today would subtract roughly 0.5 percentage</w:t>
      </w:r>
      <w:r>
        <w:t xml:space="preserve"> </w:t>
      </w:r>
      <w:r>
        <w:t xml:space="preserve">points, not 0.9. Scenario B is a materially smaller shock than 2002–03 and would</w:t>
      </w:r>
      <w:r>
        <w:t xml:space="preserve"> </w:t>
      </w:r>
      <w:r>
        <w:t xml:space="preserve">plausibly cost 0.1 to 0.3 percentage points of GDP growth; Scenario C, 0.3 to 0.5.</w:t>
      </w:r>
      <w:r>
        <w:t xml:space="preserve"> </w:t>
      </w:r>
      <w:r>
        <w:t xml:space="preserve">Scenario A costs nothing measurable.</w:t>
      </w:r>
    </w:p>
    <w:p>
      <w:pPr>
        <w:pStyle w:val="BodyText"/>
      </w:pPr>
      <w:r>
        <w:rPr>
          <w:b/>
          <w:bCs/>
        </w:rPr>
        <w:t xml:space="preserve">Prices offset volumes, partially.</w:t>
      </w:r>
      <w:r>
        <w:t xml:space="preserve"> </w:t>
      </w:r>
      <w:r>
        <w:t xml:space="preserve">ABARES expects crop export value to fall 10%</w:t>
      </w:r>
      <w:r>
        <w:t xml:space="preserve"> </w:t>
      </w:r>
      <w:r>
        <w:t xml:space="preserve">while volumes fall further,</w:t>
      </w:r>
      <w:r>
        <w:t xml:space="preserve"> </w:t>
      </w:r>
      <w:r>
        <w:t xml:space="preserve">“as lower volumes are expected to offset higher</w:t>
      </w:r>
      <w:r>
        <w:t xml:space="preserve"> </w:t>
      </w:r>
      <w:r>
        <w:t xml:space="preserve">prices”</w:t>
      </w:r>
      <w:r>
        <w:t xml:space="preserve">, and domestic grain prices to rise</w:t>
      </w:r>
      <w:r>
        <w:t xml:space="preserve"> </w:t>
      </w:r>
      <w:r>
        <w:t xml:space="preserve">(ABARES, 2026a)</w:t>
      </w:r>
      <w:r>
        <w:t xml:space="preserve">. Nominal GDP and</w:t>
      </w:r>
      <w:r>
        <w:t xml:space="preserve"> </w:t>
      </w:r>
      <w:r>
        <w:t xml:space="preserve">export receipts therefore fall by less than production does. Two qualifications:</w:t>
      </w:r>
      <w:r>
        <w:t xml:space="preserve"> </w:t>
      </w:r>
      <w:r>
        <w:t xml:space="preserve">global grains and oilseeds production is running at a record high, which caps how</w:t>
      </w:r>
      <w:r>
        <w:t xml:space="preserve"> </w:t>
      </w:r>
      <w:r>
        <w:t xml:space="preserve">far world prices can move on an Australian shortfall; and El Niño is a global</w:t>
      </w:r>
      <w:r>
        <w:t xml:space="preserve"> </w:t>
      </w:r>
      <w:r>
        <w:t xml:space="preserve">phenomenon that also disrupts Southeast Asian rice, the Indian monsoon and</w:t>
      </w:r>
      <w:r>
        <w:t xml:space="preserve"> </w:t>
      </w:r>
      <w:r>
        <w:t xml:space="preserve">southern African maize, which works the other way. On balance the price offset is</w:t>
      </w:r>
      <w:r>
        <w:t xml:space="preserve"> </w:t>
      </w:r>
      <w:r>
        <w:t xml:space="preserve">real but should not be assumed large.</w:t>
      </w:r>
    </w:p>
    <w:p>
      <w:pPr>
        <w:pStyle w:val="BodyText"/>
      </w:pPr>
      <w:r>
        <w:t xml:space="preserve">There is also a mild domestic inflation channel through food prices, relevant to</w:t>
      </w:r>
      <w:r>
        <w:t xml:space="preserve"> </w:t>
      </w:r>
      <w:r>
        <w:t xml:space="preserve">indexed payments and to the monetary policy outlook rather than to the fiscal</w:t>
      </w:r>
      <w:r>
        <w:t xml:space="preserve"> </w:t>
      </w:r>
      <w:r>
        <w:t xml:space="preserve">aggregates directly.</w:t>
      </w:r>
    </w:p>
    <w:p>
      <w:r>
        <w:pict>
          <v:rect style="width:0;height:1.5pt" o:hralign="center" o:hrstd="t" o:hr="t"/>
        </w:pict>
      </w:r>
    </w:p>
    <w:bookmarkEnd w:id="22"/>
    <w:bookmarkStart w:id="23" w:name="what-it-does-to-the-budget"/>
    <w:p>
      <w:pPr>
        <w:pStyle w:val="Heading1"/>
      </w:pPr>
      <w:r>
        <w:t xml:space="preserve">3. What it does to the Budget</w:t>
      </w:r>
    </w:p>
    <w:p>
      <w:pPr>
        <w:pStyle w:val="FirstParagraph"/>
      </w:pPr>
      <w:r>
        <w:t xml:space="preserve">Ordered by expected fiscal magnitude, largest first.</w:t>
      </w:r>
    </w:p>
    <w:p>
      <w:pPr>
        <w:pStyle w:val="BodyText"/>
      </w:pPr>
      <w:r>
        <w:rPr>
          <w:b/>
          <w:bCs/>
        </w:rPr>
        <w:t xml:space="preserve">1. Natural disaster spending — the largest and least predictable exposure.</w:t>
      </w:r>
      <w:r>
        <w:t xml:space="preserve"> </w:t>
      </w:r>
      <w:r>
        <w:t xml:space="preserve">This is the item that should hold the Treasurer’s attention. The 2019–20 fire</w:t>
      </w:r>
      <w:r>
        <w:t xml:space="preserve"> </w:t>
      </w:r>
      <w:r>
        <w:t xml:space="preserve">season cost the Commonwealth $2 billion through the National Bushfire Recovery</w:t>
      </w:r>
      <w:r>
        <w:t xml:space="preserve"> </w:t>
      </w:r>
      <w:r>
        <w:t xml:space="preserve">Fund plus a further $691.2 million through existing disaster support mechanisms —</w:t>
      </w:r>
      <w:r>
        <w:t xml:space="preserve"> </w:t>
      </w:r>
      <w:r>
        <w:t xml:space="preserve">recovery payments and allowances for individuals</w:t>
      </w:r>
      <w:r>
        <w:t xml:space="preserve"> </w:t>
      </w:r>
      <w:r>
        <w:t xml:space="preserve">(Australian National Audit Office, 2021)</w:t>
      </w:r>
      <w:r>
        <w:t xml:space="preserve">. That is</w:t>
      </w:r>
      <w:r>
        <w:t xml:space="preserve"> </w:t>
      </w:r>
      <w:r>
        <w:t xml:space="preserve">roughly five times the entire Future Drought Fund commitment of $519.1 million</w:t>
      </w:r>
      <w:r>
        <w:t xml:space="preserve"> </w:t>
      </w:r>
      <w:r>
        <w:t xml:space="preserve">over eight years</w:t>
      </w:r>
      <w:r>
        <w:t xml:space="preserve"> </w:t>
      </w:r>
      <w:r>
        <w:t xml:space="preserve">(Prime Minister of Australia, 2026)</w:t>
      </w:r>
      <w:r>
        <w:t xml:space="preserve">. Fire risk is the part of the El Niño signature that is reliably</w:t>
      </w:r>
      <w:r>
        <w:t xml:space="preserve"> </w:t>
      </w:r>
      <w:r>
        <w:t xml:space="preserve">delivered: heat correlates with event strength where rainfall does not, and this</w:t>
      </w:r>
      <w:r>
        <w:t xml:space="preserve"> </w:t>
      </w:r>
      <w:r>
        <w:t xml:space="preserve">event is forecast to be very strong. The exposure is contingent, lumpy, and</w:t>
      </w:r>
      <w:r>
        <w:t xml:space="preserve"> </w:t>
      </w:r>
      <w:r>
        <w:t xml:space="preserve">concentrated in the December–February window — after MYEFO.</w:t>
      </w:r>
    </w:p>
    <w:p>
      <w:pPr>
        <w:pStyle w:val="BodyText"/>
      </w:pPr>
      <w:r>
        <w:rPr>
          <w:b/>
          <w:bCs/>
        </w:rPr>
        <w:t xml:space="preserve">2. Drought assistance.</w:t>
      </w:r>
      <w:r>
        <w:t xml:space="preserve"> </w:t>
      </w:r>
      <w:r>
        <w:t xml:space="preserve">Farm Household Allowance is demand-driven and will rise</w:t>
      </w:r>
      <w:r>
        <w:t xml:space="preserve"> </w:t>
      </w:r>
      <w:r>
        <w:t xml:space="preserve">in Scenarios B and C; it is a fortnightly payment and scales with the number of</w:t>
      </w:r>
      <w:r>
        <w:t xml:space="preserve"> </w:t>
      </w:r>
      <w:r>
        <w:t xml:space="preserve">eligible households rather than with the size of the production loss. Discretionary</w:t>
      </w:r>
      <w:r>
        <w:t xml:space="preserve"> </w:t>
      </w:r>
      <w:r>
        <w:t xml:space="preserve">programmes are the larger variable: the 2018–19 response included $297 million</w:t>
      </w:r>
      <w:r>
        <w:t xml:space="preserve"> </w:t>
      </w:r>
      <w:r>
        <w:t xml:space="preserve">over four years for the Drought Communities Programme Extension and $148.5 million</w:t>
      </w:r>
      <w:r>
        <w:t xml:space="preserve"> </w:t>
      </w:r>
      <w:r>
        <w:t xml:space="preserve">for a round of household support. A Scenario B response would plausibly sit in the</w:t>
      </w:r>
      <w:r>
        <w:t xml:space="preserve"> </w:t>
      </w:r>
      <w:r>
        <w:t xml:space="preserve">low hundreds of millions; Scenario C higher, and with political pressure for more.</w:t>
      </w:r>
    </w:p>
    <w:p>
      <w:pPr>
        <w:pStyle w:val="BodyText"/>
      </w:pPr>
      <w:r>
        <w:rPr>
          <w:b/>
          <w:bCs/>
        </w:rPr>
        <w:t xml:space="preserve">3. Tax receipts.</w:t>
      </w:r>
      <w:r>
        <w:t xml:space="preserve"> </w:t>
      </w:r>
      <w:r>
        <w:t xml:space="preserve">Company and personal income tax from the farm sector falls</w:t>
      </w:r>
      <w:r>
        <w:t xml:space="preserve"> </w:t>
      </w:r>
      <w:r>
        <w:t xml:space="preserve">with the 70% profit decline, but off a base that is a small share of total</w:t>
      </w:r>
      <w:r>
        <w:t xml:space="preserve"> </w:t>
      </w:r>
      <w:r>
        <w:t xml:space="preserve">receipts. There is a partly offsetting timing effect: Farm Management Deposits are</w:t>
      </w:r>
      <w:r>
        <w:t xml:space="preserve"> </w:t>
      </w:r>
      <w:r>
        <w:t xml:space="preserve">deductible when made and assessable when withdrawn, and drought triggers early-access</w:t>
      </w:r>
      <w:r>
        <w:t xml:space="preserve"> </w:t>
      </w:r>
      <w:r>
        <w:t xml:space="preserve">provisions. Drought years therefore pull forward taxable income from the deposit</w:t>
      </w:r>
      <w:r>
        <w:t xml:space="preserve"> </w:t>
      </w:r>
      <w:r>
        <w:t xml:space="preserve">pool, which cushions the receipts line in the year of the drought and costs the</w:t>
      </w:r>
      <w:r>
        <w:t xml:space="preserve"> </w:t>
      </w:r>
      <w:r>
        <w:t xml:space="preserve">Budget later. This is a stabiliser that works in the government’s favour on</w:t>
      </w:r>
      <w:r>
        <w:t xml:space="preserve"> </w:t>
      </w:r>
      <w:r>
        <w:t xml:space="preserve">2026–27 timing.</w:t>
      </w:r>
    </w:p>
    <w:p>
      <w:pPr>
        <w:pStyle w:val="BodyText"/>
      </w:pPr>
      <w:r>
        <w:rPr>
          <w:b/>
          <w:bCs/>
        </w:rPr>
        <w:t xml:space="preserve">4. Regional consumption and GST.</w:t>
      </w:r>
      <w:r>
        <w:t xml:space="preserve"> </w:t>
      </w:r>
      <w:r>
        <w:t xml:space="preserve">Second-order, and partly offset by drought</w:t>
      </w:r>
      <w:r>
        <w:t xml:space="preserve"> </w:t>
      </w:r>
      <w:r>
        <w:t xml:space="preserve">assistance flowing back into the same regional economies.</w:t>
      </w:r>
    </w:p>
    <w:p>
      <w:pPr>
        <w:pStyle w:val="BodyText"/>
      </w:pPr>
      <w:r>
        <w:rPr>
          <w:b/>
          <w:bCs/>
        </w:rPr>
        <w:t xml:space="preserve">5. Water.</w:t>
      </w:r>
      <w:r>
        <w:t xml:space="preserve"> </w:t>
      </w:r>
      <w:r>
        <w:t xml:space="preserve">Urban supply is far less exposed than during the Millennium drought</w:t>
      </w:r>
      <w:r>
        <w:t xml:space="preserve"> </w:t>
      </w:r>
      <w:r>
        <w:t xml:space="preserve">because of desalination capacity that did not exist in 2002. The Commonwealth</w:t>
      </w:r>
      <w:r>
        <w:t xml:space="preserve"> </w:t>
      </w:r>
      <w:r>
        <w:t xml:space="preserve">exposure is more likely to be regional and remote town supply, which is small in</w:t>
      </w:r>
      <w:r>
        <w:t xml:space="preserve"> </w:t>
      </w:r>
      <w:r>
        <w:t xml:space="preserve">dollar terms.</w:t>
      </w:r>
    </w:p>
    <w:p>
      <w:r>
        <w:pict>
          <v:rect style="width:0;height:1.5pt" o:hralign="center" o:hrstd="t" o:hr="t"/>
        </w:pict>
      </w:r>
    </w:p>
    <w:bookmarkEnd w:id="23"/>
    <w:bookmarkStart w:id="24" w:name="decision-timetable"/>
    <w:p>
      <w:pPr>
        <w:pStyle w:val="Heading1"/>
      </w:pPr>
      <w:r>
        <w:t xml:space="preserve">4. Decision timetable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848"/>
        <w:gridCol w:w="4488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settles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Mid-August 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CPC diagnostic discussion, 13 August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Pacific event is still strengthening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Late August – September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Dipole Mode Index sustained above or below +0.4 °C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Scenario A versus B/C — the single highest-value observable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Early September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AFAC Spring Seasonal Bushfire Outlook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fire-season assessment incorporating the declared El Niño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September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ABARES September crop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crop forecast incorporating the El Niño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November–December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Harvest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production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December 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MYEFO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point to reflect the outcome; the crop will be known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December – February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 season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contingent spending exposure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May 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picture, including any recovery funding</w:t>
            </w:r>
          </w:p>
        </w:tc>
      </w:tr>
    </w:tbl>
    <w:p>
      <w:pPr>
        <w:pStyle w:val="BodyText"/>
      </w:pPr>
      <w:r>
        <w:t xml:space="preserve">The practical implication:</w:t>
      </w:r>
      <w:r>
        <w:t xml:space="preserve"> </w:t>
      </w:r>
      <w:r>
        <w:rPr>
          <w:b/>
          <w:bCs/>
        </w:rPr>
        <w:t xml:space="preserve">nothing requires provisioning before MYEFO on the</w:t>
      </w:r>
      <w:r>
        <w:rPr>
          <w:b/>
          <w:bCs/>
        </w:rPr>
        <w:t xml:space="preserve"> </w:t>
      </w:r>
      <w:r>
        <w:rPr>
          <w:b/>
          <w:bCs/>
        </w:rPr>
        <w:t xml:space="preserve">drought side, because the crop outcome will be known by then.</w:t>
      </w:r>
      <w:r>
        <w:t xml:space="preserve"> </w:t>
      </w:r>
      <w:r>
        <w:t xml:space="preserve">The fire-season</w:t>
      </w:r>
      <w:r>
        <w:t xml:space="preserve"> </w:t>
      </w:r>
      <w:r>
        <w:t xml:space="preserve">exposure runs the other way — it crystallises after MYEFO and before the Budget,</w:t>
      </w:r>
      <w:r>
        <w:t xml:space="preserve"> </w:t>
      </w:r>
      <w:r>
        <w:t xml:space="preserve">which is the standard pattern for disaster funding and is normally handled through</w:t>
      </w:r>
      <w:r>
        <w:t xml:space="preserve"> </w:t>
      </w:r>
      <w:r>
        <w:t xml:space="preserve">contingency rather than forward estimates.</w:t>
      </w:r>
    </w:p>
    <w:p>
      <w:r>
        <w:pict>
          <v:rect style="width:0;height:1.5pt" o:hralign="center" o:hrstd="t" o:hr="t"/>
        </w:pict>
      </w:r>
    </w:p>
    <w:bookmarkEnd w:id="24"/>
    <w:bookmarkStart w:id="25" w:name="what-we-would-tell-you-not-to-do"/>
    <w:p>
      <w:pPr>
        <w:pStyle w:val="Heading1"/>
      </w:pPr>
      <w:r>
        <w:t xml:space="preserve">5. What we would tell you not to do</w:t>
      </w:r>
    </w:p>
    <w:p>
      <w:pPr>
        <w:pStyle w:val="FirstParagraph"/>
      </w:pPr>
      <w:r>
        <w:rPr>
          <w:b/>
          <w:bCs/>
        </w:rPr>
        <w:t xml:space="preserve">Do not scale the fiscal response to the Pacific index.</w:t>
      </w:r>
      <w:r>
        <w:t xml:space="preserve"> </w:t>
      </w:r>
      <w:r>
        <w:t xml:space="preserve">The evidence in the</w:t>
      </w:r>
      <w:r>
        <w:t xml:space="preserve"> </w:t>
      </w:r>
      <w:r>
        <w:t xml:space="preserve">companion note is that event strength does not predict Australian rainfall. A</w:t>
      </w:r>
      <w:r>
        <w:t xml:space="preserve"> </w:t>
      </w:r>
      <w:r>
        <w:t xml:space="preserve">response calibrated to</w:t>
      </w:r>
      <w:r>
        <w:t xml:space="preserve"> </w:t>
      </w:r>
      <w:r>
        <w:t xml:space="preserve">“the strongest El Niño since 1950”</w:t>
      </w:r>
      <w:r>
        <w:t xml:space="preserve"> </w:t>
      </w:r>
      <w:r>
        <w:t xml:space="preserve">would have been wrong in</w:t>
      </w:r>
      <w:r>
        <w:t xml:space="preserve"> </w:t>
      </w:r>
      <w:r>
        <w:t xml:space="preserve">1997, when Australian spring rainfall came in near normal.</w:t>
      </w:r>
    </w:p>
    <w:p>
      <w:pPr>
        <w:pStyle w:val="BodyText"/>
      </w:pPr>
      <w:r>
        <w:rPr>
          <w:b/>
          <w:bCs/>
        </w:rPr>
        <w:t xml:space="preserve">Do not treat the country as one unit.</w:t>
      </w:r>
      <w:r>
        <w:t xml:space="preserve"> </w:t>
      </w:r>
      <w:r>
        <w:t xml:space="preserve">Northern NSW and southern Queensland are</w:t>
      </w:r>
      <w:r>
        <w:t xml:space="preserve"> </w:t>
      </w:r>
      <w:r>
        <w:t xml:space="preserve">already in drought and their crop is already written down 37% and 38%</w:t>
      </w:r>
      <w:r>
        <w:t xml:space="preserve"> </w:t>
      </w:r>
      <w:r>
        <w:t xml:space="preserve">respectively; Victoria is down 4% and South Australia is flat</w:t>
      </w:r>
      <w:r>
        <w:t xml:space="preserve"> </w:t>
      </w:r>
      <w:r>
        <w:t xml:space="preserve">(ABARES, 2026b)</w:t>
      </w:r>
      <w:r>
        <w:t xml:space="preserve">. Assistance calibrated nationally would over-serve the south</w:t>
      </w:r>
      <w:r>
        <w:t xml:space="preserve"> </w:t>
      </w:r>
      <w:r>
        <w:t xml:space="preserve">and under-serve the north.</w:t>
      </w:r>
    </w:p>
    <w:p>
      <w:pPr>
        <w:pStyle w:val="BodyText"/>
      </w:pPr>
      <w:r>
        <w:rPr>
          <w:b/>
          <w:bCs/>
        </w:rPr>
        <w:t xml:space="preserve">Do not read the −21% crop forecast as an El Niño effect.</w:t>
      </w:r>
      <w:r>
        <w:t xml:space="preserve"> </w:t>
      </w:r>
      <w:r>
        <w:t xml:space="preserve">It is not. It is the</w:t>
      </w:r>
      <w:r>
        <w:t xml:space="preserve"> </w:t>
      </w:r>
      <w:r>
        <w:t xml:space="preserve">consequence of an autumn drought in the northern cropping zone that preceded the</w:t>
      </w:r>
      <w:r>
        <w:t xml:space="preserve"> </w:t>
      </w:r>
      <w:r>
        <w:t xml:space="preserve">event, and it was published on a May climate outlook. The El Niño’s incremental</w:t>
      </w:r>
      <w:r>
        <w:t xml:space="preserve"> </w:t>
      </w:r>
      <w:r>
        <w:t xml:space="preserve">contribution is still ahead of us and lands mostly on the southern crop.</w:t>
      </w:r>
    </w:p>
    <w:p>
      <w:r>
        <w:pict>
          <v:rect style="width:0;height:1.5pt" o:hralign="center" o:hrstd="t" o:hr="t"/>
        </w:pict>
      </w:r>
    </w:p>
    <w:bookmarkEnd w:id="25"/>
    <w:bookmarkStart w:id="39" w:name="bottom-line-for-the-budget"/>
    <w:p>
      <w:pPr>
        <w:pStyle w:val="Heading1"/>
      </w:pPr>
      <w:r>
        <w:t xml:space="preserve">6. Bottom line for the Budget</w:t>
      </w:r>
    </w:p>
    <w:p>
      <w:pPr>
        <w:pStyle w:val="FirstParagraph"/>
      </w:pPr>
      <w:r>
        <w:t xml:space="preserve">On a probability-weighted basis the incremental hit to 2026–27 GDP growth from</w:t>
      </w:r>
      <w:r>
        <w:t xml:space="preserve"> </w:t>
      </w:r>
      <w:r>
        <w:t xml:space="preserve">here is of the order of 0.1 to 0.2 percentage points, with a tail to 0.5. The</w:t>
      </w:r>
      <w:r>
        <w:t xml:space="preserve"> </w:t>
      </w:r>
      <w:r>
        <w:t xml:space="preserve">revenue effect is small in absolute terms and partly self-cushioning through Farm</w:t>
      </w:r>
      <w:r>
        <w:t xml:space="preserve"> </w:t>
      </w:r>
      <w:r>
        <w:t xml:space="preserve">Management Deposit withdrawals. The spending exposure is dominated by a contingent</w:t>
      </w:r>
      <w:r>
        <w:t xml:space="preserve"> </w:t>
      </w:r>
      <w:r>
        <w:t xml:space="preserve">fire-season liability that history suggests can run to $2 billion or more in a bad</w:t>
      </w:r>
      <w:r>
        <w:t xml:space="preserve"> </w:t>
      </w:r>
      <w:r>
        <w:t xml:space="preserve">year, and that is the item worth stress-testing rather than the drought line.</w:t>
      </w:r>
    </w:p>
    <w:p>
      <w:pPr>
        <w:pStyle w:val="BodyText"/>
      </w:pPr>
      <w:r>
        <w:t xml:space="preserve">The most useful thing that can be done between now and MYEFO is to watch one</w:t>
      </w:r>
      <w:r>
        <w:t xml:space="preserve"> </w:t>
      </w:r>
      <w:r>
        <w:t xml:space="preserve">number — the Dipole Mode Index through September — and to make sure the fire</w:t>
      </w:r>
      <w:r>
        <w:t xml:space="preserve"> </w:t>
      </w:r>
      <w:r>
        <w:t xml:space="preserve">preparedness and disaster funding machinery is ready, because that is the part of</w:t>
      </w:r>
      <w:r>
        <w:t xml:space="preserve"> </w:t>
      </w:r>
      <w:r>
        <w:t xml:space="preserve">this event that is not conditional.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 and claim ledger: see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el_nino.md</w:t>
      </w:r>
      <w:r>
        <w:rPr>
          <w:i/>
          <w:iCs/>
        </w:rPr>
        <w:t xml:space="preserve"> </w:t>
      </w:r>
      <w:r>
        <w:rPr>
          <w:i/>
          <w:iCs/>
        </w:rPr>
        <w:t xml:space="preserve">and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el_nino_ledger.md</w:t>
      </w:r>
      <w:r>
        <w:rPr>
          <w:i/>
          <w:iCs/>
        </w:rPr>
        <w:t xml:space="preserve">. Scenario</w:t>
      </w:r>
      <w:r>
        <w:rPr>
          <w:i/>
          <w:iCs/>
        </w:rPr>
        <w:t xml:space="preserve"> </w:t>
      </w:r>
      <w:r>
        <w:rPr>
          <w:i/>
          <w:iCs/>
        </w:rPr>
        <w:t xml:space="preserve">weights and the production ranges in Section 1 are judgements, not model output;</w:t>
      </w:r>
      <w:r>
        <w:rPr>
          <w:i/>
          <w:iCs/>
        </w:rPr>
        <w:t xml:space="preserve"> </w:t>
      </w:r>
      <w:r>
        <w:rPr>
          <w:i/>
          <w:iCs/>
        </w:rPr>
        <w:t xml:space="preserve">the arithmetic behind them is shown in the text. GDP-share arithmetic in Section 2</w:t>
      </w:r>
      <w:r>
        <w:rPr>
          <w:i/>
          <w:iCs/>
        </w:rPr>
        <w:t xml:space="preserve"> </w:t>
      </w:r>
      <w:r>
        <w:rPr>
          <w:i/>
          <w:iCs/>
        </w:rPr>
        <w:t xml:space="preserve">is derived from the Treasury 2002–03 estimate and current national accounts shares</w:t>
      </w:r>
      <w:r>
        <w:rPr>
          <w:i/>
          <w:iCs/>
        </w:rPr>
        <w:t xml:space="preserve"> </w:t>
      </w:r>
      <w:r>
        <w:rPr>
          <w:i/>
          <w:iCs/>
        </w:rPr>
        <w:t xml:space="preserve">and is an order-of-magnitude calculation, not a Treasury-equivalent estimate.</w:t>
      </w:r>
    </w:p>
    <w:bookmarkStart w:id="38" w:name="refs"/>
    <w:bookmarkStart w:id="27" w:name="ref-abares-ac-2026jun"/>
    <w:p>
      <w:pPr>
        <w:pStyle w:val="Bibliography"/>
      </w:pPr>
      <w:r>
        <w:t xml:space="preserve">ABARES. (2026a).</w:t>
      </w:r>
      <w:r>
        <w:t xml:space="preserve"> </w:t>
      </w:r>
      <w:r>
        <w:rPr>
          <w:i/>
          <w:iCs/>
        </w:rPr>
        <w:t xml:space="preserve">Agricultural commodities report, june quarter 2026</w:t>
      </w:r>
      <w:r>
        <w:t xml:space="preserve">. Australian Bureau of Agricultural; Resource Economics; Sciences, Department of Agriculture, Fisheries; Forestry.</w:t>
      </w:r>
      <w:r>
        <w:t xml:space="preserve"> </w:t>
      </w:r>
      <w:hyperlink r:id="rId26">
        <w:r>
          <w:rPr>
            <w:rStyle w:val="Hyperlink"/>
          </w:rPr>
          <w:t xml:space="preserve">https://www.agriculture.gov.au/abares/research-topics/agricultural-outlook/june-2026</w:t>
        </w:r>
      </w:hyperlink>
    </w:p>
    <w:bookmarkEnd w:id="27"/>
    <w:bookmarkStart w:id="29" w:name="ref-abares-crop-2026jun"/>
    <w:p>
      <w:pPr>
        <w:pStyle w:val="Bibliography"/>
      </w:pPr>
      <w:r>
        <w:t xml:space="preserve">ABARES. (2026b).</w:t>
      </w:r>
      <w:r>
        <w:t xml:space="preserve"> </w:t>
      </w:r>
      <w:r>
        <w:rPr>
          <w:i/>
          <w:iCs/>
        </w:rPr>
        <w:t xml:space="preserve">Australian crop report: June 2026, no. 218</w:t>
      </w:r>
      <w:r>
        <w:t xml:space="preserve">. Australian Bureau of Agricultural; Resource Economics; Sciences, Department of Agriculture, Fisheries; Forestry.</w:t>
      </w:r>
      <w:r>
        <w:t xml:space="preserve"> </w:t>
      </w:r>
      <w:hyperlink r:id="rId28">
        <w:r>
          <w:rPr>
            <w:rStyle w:val="Hyperlink"/>
          </w:rPr>
          <w:t xml:space="preserve">https://www.agriculture.gov.au/abares/research-topics/agricultural-outlook/australian-crop-report/june-2026</w:t>
        </w:r>
      </w:hyperlink>
    </w:p>
    <w:bookmarkEnd w:id="29"/>
    <w:bookmarkStart w:id="31" w:name="ref-anao-nbra-2021"/>
    <w:p>
      <w:pPr>
        <w:pStyle w:val="Bibliography"/>
      </w:pPr>
      <w:r>
        <w:t xml:space="preserve">Australian National Audit Office. (2021).</w:t>
      </w:r>
      <w:r>
        <w:t xml:space="preserve"> </w:t>
      </w:r>
      <w:r>
        <w:rPr>
          <w:i/>
          <w:iCs/>
        </w:rPr>
        <w:t xml:space="preserve">Administration of the national bushfire recovery agency</w:t>
      </w:r>
      <w:r>
        <w:t xml:space="preserve">. Commonwealth of Australia.</w:t>
      </w:r>
      <w:r>
        <w:t xml:space="preserve"> </w:t>
      </w:r>
      <w:hyperlink r:id="rId30">
        <w:r>
          <w:rPr>
            <w:rStyle w:val="Hyperlink"/>
          </w:rPr>
          <w:t xml:space="preserve">https://www.anao.gov.au/work/performance-audit/administration-the-national-bushfire-recovery-agency</w:t>
        </w:r>
      </w:hyperlink>
    </w:p>
    <w:bookmarkEnd w:id="31"/>
    <w:bookmarkStart w:id="33" w:name="ref-treasury-drought-2004"/>
    <w:p>
      <w:pPr>
        <w:pStyle w:val="Bibliography"/>
      </w:pPr>
      <w:r>
        <w:t xml:space="preserve">Australian Treasury. (2004). The impact of the 2002 drought on the economy and agricultural employment.</w:t>
      </w:r>
      <w:r>
        <w:t xml:space="preserve"> </w:t>
      </w:r>
      <w:r>
        <w:rPr>
          <w:i/>
          <w:iCs/>
        </w:rPr>
        <w:t xml:space="preserve">Economic Roundup</w:t>
      </w:r>
      <w:r>
        <w:t xml:space="preserve">,</w:t>
      </w:r>
      <w:r>
        <w:t xml:space="preserve"> </w:t>
      </w:r>
      <w:r>
        <w:rPr>
          <w:i/>
          <w:iCs/>
        </w:rPr>
        <w:t xml:space="preserve">Autumn 2004</w:t>
      </w:r>
      <w:r>
        <w:t xml:space="preserve">.</w:t>
      </w:r>
      <w:r>
        <w:t xml:space="preserve"> </w:t>
      </w:r>
      <w:hyperlink r:id="rId32">
        <w:r>
          <w:rPr>
            <w:rStyle w:val="Hyperlink"/>
          </w:rPr>
          <w:t xml:space="preserve">https://treasury.gov.au/publication/economic-roundup-autumn-2004/the-impact-of-the-2002-drought-on-the-economy-and-agricultural-employment</w:t>
        </w:r>
      </w:hyperlink>
    </w:p>
    <w:bookmarkEnd w:id="33"/>
    <w:bookmarkStart w:id="35" w:name="ref-cpc-ensodisc-2026jul"/>
    <w:p>
      <w:pPr>
        <w:pStyle w:val="Bibliography"/>
      </w:pPr>
      <w:r>
        <w:t xml:space="preserve">NOAA Climate Prediction Center. (2026).</w:t>
      </w:r>
      <w:r>
        <w:t xml:space="preserve"> </w:t>
      </w:r>
      <w:r>
        <w:rPr>
          <w:i/>
          <w:iCs/>
        </w:rPr>
        <w:t xml:space="preserve">El niño/southern oscillation (ENSO) diagnostic discussion, 9 july 2026</w:t>
      </w:r>
      <w:r>
        <w:t xml:space="preserve">. NOAA/NWS/NCEP Climate Prediction Center.</w:t>
      </w:r>
      <w:r>
        <w:t xml:space="preserve"> </w:t>
      </w:r>
      <w:hyperlink r:id="rId34">
        <w:r>
          <w:rPr>
            <w:rStyle w:val="Hyperlink"/>
          </w:rPr>
          <w:t xml:space="preserve">https://www.cpc.ncep.noaa.gov/products/analysis_monitoring/enso_advisory/ensodisc.shtml</w:t>
        </w:r>
      </w:hyperlink>
    </w:p>
    <w:bookmarkEnd w:id="35"/>
    <w:bookmarkStart w:id="37" w:name="ref-pm-fdf-2026"/>
    <w:p>
      <w:pPr>
        <w:pStyle w:val="Bibliography"/>
      </w:pPr>
      <w:r>
        <w:t xml:space="preserve">Prime Minister of Australia. (2026).</w:t>
      </w:r>
      <w:r>
        <w:t xml:space="preserve"> </w:t>
      </w:r>
      <w:r>
        <w:rPr>
          <w:i/>
          <w:iCs/>
        </w:rPr>
        <w:t xml:space="preserve">$519 million boost to help farmers mitigate impacts of drought</w:t>
      </w:r>
      <w:r>
        <w:t xml:space="preserve">.</w:t>
      </w:r>
      <w:r>
        <w:t xml:space="preserve"> </w:t>
      </w:r>
      <w:hyperlink r:id="rId36">
        <w:r>
          <w:rPr>
            <w:rStyle w:val="Hyperlink"/>
          </w:rPr>
          <w:t xml:space="preserve">https://www.pm.gov.au/media/519-million-boost-help-farmers-mitigate-impacts-drought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2" Target="https://treasury.gov.au/publication/economic-roundup-autumn-2004/the-impact-of-the-2002-drought-on-the-economy-and-agricultural-employment" TargetMode="External" /><Relationship Type="http://schemas.openxmlformats.org/officeDocument/2006/relationships/hyperlink" Id="rId28" Target="https://www.agriculture.gov.au/abares/research-topics/agricultural-outlook/australian-crop-report/june-2026" TargetMode="External" /><Relationship Type="http://schemas.openxmlformats.org/officeDocument/2006/relationships/hyperlink" Id="rId26" Target="https://www.agriculture.gov.au/abares/research-topics/agricultural-outlook/june-2026" TargetMode="External" /><Relationship Type="http://schemas.openxmlformats.org/officeDocument/2006/relationships/hyperlink" Id="rId30" Target="https://www.anao.gov.au/work/performance-audit/administration-the-national-bushfire-recovery-agency" TargetMode="External" /><Relationship Type="http://schemas.openxmlformats.org/officeDocument/2006/relationships/hyperlink" Id="rId34" Target="https://www.cpc.ncep.noaa.gov/products/analysis_monitoring/enso_advisory/ensodisc.shtml" TargetMode="External" /><Relationship Type="http://schemas.openxmlformats.org/officeDocument/2006/relationships/hyperlink" Id="rId36" Target="https://www.pm.gov.au/media/519-million-boost-help-farmers-mitigate-impacts-drough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treasury.gov.au/publication/economic-roundup-autumn-2004/the-impact-of-the-2002-drought-on-the-economy-and-agricultural-employment" TargetMode="External" /><Relationship Type="http://schemas.openxmlformats.org/officeDocument/2006/relationships/hyperlink" Id="rId28" Target="https://www.agriculture.gov.au/abares/research-topics/agricultural-outlook/australian-crop-report/june-2026" TargetMode="External" /><Relationship Type="http://schemas.openxmlformats.org/officeDocument/2006/relationships/hyperlink" Id="rId26" Target="https://www.agriculture.gov.au/abares/research-topics/agricultural-outlook/june-2026" TargetMode="External" /><Relationship Type="http://schemas.openxmlformats.org/officeDocument/2006/relationships/hyperlink" Id="rId30" Target="https://www.anao.gov.au/work/performance-audit/administration-the-national-bushfire-recovery-agency" TargetMode="External" /><Relationship Type="http://schemas.openxmlformats.org/officeDocument/2006/relationships/hyperlink" Id="rId34" Target="https://www.cpc.ncep.noaa.gov/products/analysis_monitoring/enso_advisory/ensodisc.shtml" TargetMode="External" /><Relationship Type="http://schemas.openxmlformats.org/officeDocument/2006/relationships/hyperlink" Id="rId36" Target="https://www.pm.gov.au/media/519-million-boost-help-farmers-mitigate-impacts-drough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Niño and the Budget: brief for the Treasurer</dc:title>
  <dc:creator>ITK - Claude assisted research</dc:creator>
  <cp:keywords/>
  <dcterms:created xsi:type="dcterms:W3CDTF">2026-08-06T00:22:37Z</dcterms:created>
  <dcterms:modified xsi:type="dcterms:W3CDTF">2026-08-06T00:22:37Z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el_nino_references.bib</vt:lpwstr>
  </property>
  <property fmtid="{D5CDD505-2E9C-101B-9397-08002B2CF9AE}" pid="5" name="by-author">
    <vt:lpwstr/>
  </property>
  <property fmtid="{D5CDD505-2E9C-101B-9397-08002B2CF9AE}" pid="6" name="categories">
    <vt:lpwstr/>
  </property>
  <property fmtid="{D5CDD505-2E9C-101B-9397-08002B2CF9AE}" pid="7" name="csl">
    <vt:lpwstr>../apa.csl</vt:lpwstr>
  </property>
  <property fmtid="{D5CDD505-2E9C-101B-9397-08002B2CF9AE}" pid="8" name="date">
    <vt:lpwstr>2026-08-03</vt:lpwstr>
  </property>
  <property fmtid="{D5CDD505-2E9C-101B-9397-08002B2CF9AE}" pid="9" name="draft">
    <vt:lpwstr>False</vt:lpwstr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lightbox">
    <vt:lpwstr>True</vt:lpwstr>
  </property>
  <property fmtid="{D5CDD505-2E9C-101B-9397-08002B2CF9AE}" pid="15" name="tbl-cap-location">
    <vt:lpwstr>bottom</vt:lpwstr>
  </property>
  <property fmtid="{D5CDD505-2E9C-101B-9397-08002B2CF9AE}" pid="16" name="toc-title">
    <vt:lpwstr>Table of contents</vt:lpwstr>
  </property>
</Properties>
</file>