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6" w:name="X815d6d7a1e2db1ed338e0b5394795fed08af5be"/>
    <w:p>
      <w:pPr>
        <w:pStyle w:val="Heading1"/>
      </w:pPr>
      <w:r>
        <w:t xml:space="preserve">The Great Barrier Reef: Bleaching, Outlook and Economic Impact</w:t>
      </w:r>
    </w:p>
    <w:bookmarkStart w:id="20" w:name="Xd47806481c5ead9ccc1fe0e1ae68e708048beae"/>
    <w:p>
      <w:pPr>
        <w:pStyle w:val="Heading2"/>
      </w:pPr>
      <w:r>
        <w:t xml:space="preserve">A Synthesis of Science and Tourism Economics</w:t>
      </w:r>
    </w:p>
    <w:p>
      <w:pPr>
        <w:pStyle w:val="FirstParagraph"/>
      </w:pPr>
      <w:r>
        <w:rPr>
          <w:i/>
          <w:iCs/>
        </w:rPr>
        <w:t xml:space="preserve">Synthesis Report — 10 March 2026</w:t>
      </w:r>
    </w:p>
    <w:p>
      <w:r>
        <w:pict>
          <v:rect style="width:0;height:1.5pt" o:hralign="center" o:hrstd="t" o:hr="t"/>
        </w:pict>
      </w:r>
    </w:p>
    <w:bookmarkEnd w:id="20"/>
    <w:bookmarkStart w:id="21" w:name="overview"/>
    <w:p>
      <w:pPr>
        <w:pStyle w:val="Heading2"/>
      </w:pPr>
      <w:r>
        <w:t xml:space="preserve">Overview</w:t>
      </w:r>
    </w:p>
    <w:p>
      <w:pPr>
        <w:pStyle w:val="FirstParagraph"/>
      </w:pPr>
      <w:r>
        <w:t xml:space="preserve">This synthesis draws on two detailed research reports covering coral bleaching science and tourism economics. It presents a balanced assessment of the Great Barrier Reef’s trajectory, integrating the physical science of why bleaching occurs, the outlook under different warming scenarios, and the economic consequences — including actual tourism visitor trends.</w:t>
      </w:r>
    </w:p>
    <w:p>
      <w:pPr>
        <w:pStyle w:val="BodyText"/>
      </w:pPr>
      <w:r>
        <w:t xml:space="preserve">The assessment draws primarily on the GBRMPA Outlook Report 2024, the AIMS Long-Term Monitoring Program (39 years of continuous data), the Bozec et al. (2025) ReefMod-GBR modelling study, the Deloitte Access Economics valuations (2017, 2024), GBRMPA Environmental Management Charge visitor data, and peer-reviewed research published through early 2026.</w:t>
      </w:r>
    </w:p>
    <w:p>
      <w:r>
        <w:pict>
          <v:rect style="width:0;height:1.5pt" o:hralign="center" o:hrstd="t" o:hr="t"/>
        </w:pict>
      </w:r>
    </w:p>
    <w:bookmarkEnd w:id="21"/>
    <w:bookmarkStart w:id="25" w:name="why-bleaching-occurs"/>
    <w:p>
      <w:pPr>
        <w:pStyle w:val="Heading2"/>
      </w:pPr>
      <w:r>
        <w:t xml:space="preserve">1. Why Bleaching Occurs</w:t>
      </w:r>
    </w:p>
    <w:bookmarkStart w:id="22" w:name="the-mechanism"/>
    <w:p>
      <w:pPr>
        <w:pStyle w:val="Heading3"/>
      </w:pPr>
      <w:r>
        <w:t xml:space="preserve">The Mechanism</w:t>
      </w:r>
    </w:p>
    <w:p>
      <w:pPr>
        <w:pStyle w:val="FirstParagraph"/>
      </w:pPr>
      <w:r>
        <w:t xml:space="preserve">Reef-building corals depend on a symbiosis with single-celled photosynthetic algae called zooxanthellae (</w:t>
      </w:r>
      <w:r>
        <w:rPr>
          <w:i/>
          <w:iCs/>
        </w:rPr>
        <w:t xml:space="preserve">Symbiodinium</w:t>
      </w:r>
      <w:r>
        <w:t xml:space="preserve">), which live within coral tissue and provide up to 90% of the coral’s energy through photosynthesis. The zooxanthellae also give corals their characteristic colour — the coral tissue itself is largely transparent.</w:t>
      </w:r>
    </w:p>
    <w:p>
      <w:pPr>
        <w:pStyle w:val="BodyText"/>
      </w:pPr>
      <w:r>
        <w:t xml:space="preserve">When water temperatures rise above the coral’s thermal tolerance:</w:t>
      </w:r>
    </w:p>
    <w:p>
      <w:pPr>
        <w:pStyle w:val="Compact"/>
        <w:numPr>
          <w:ilvl w:val="0"/>
          <w:numId w:val="1001"/>
        </w:numPr>
      </w:pPr>
      <w:r>
        <w:t xml:space="preserve">The zooxanthellae’s photosynthetic apparatus becomes overwhelmed by incoming light energy</w:t>
      </w:r>
    </w:p>
    <w:p>
      <w:pPr>
        <w:pStyle w:val="Compact"/>
        <w:numPr>
          <w:ilvl w:val="0"/>
          <w:numId w:val="1001"/>
        </w:numPr>
      </w:pPr>
      <w:r>
        <w:t xml:space="preserve">This</w:t>
      </w:r>
      <w:r>
        <w:t xml:space="preserve"> </w:t>
      </w:r>
      <w:r>
        <w:rPr>
          <w:b/>
          <w:bCs/>
        </w:rPr>
        <w:t xml:space="preserve">photoinhibition</w:t>
      </w:r>
      <w:r>
        <w:t xml:space="preserve"> </w:t>
      </w:r>
      <w:r>
        <w:t xml:space="preserve">causes production of reactive oxygen species (ROS) — toxic free radicals that damage cellular structures</w:t>
      </w:r>
    </w:p>
    <w:p>
      <w:pPr>
        <w:pStyle w:val="Compact"/>
        <w:numPr>
          <w:ilvl w:val="0"/>
          <w:numId w:val="1001"/>
        </w:numPr>
      </w:pPr>
      <w:r>
        <w:t xml:space="preserve">The coral expels the zooxanthellae through several pathways (exocytosis, host cell detachment, programmed cell death)</w:t>
      </w:r>
    </w:p>
    <w:p>
      <w:pPr>
        <w:pStyle w:val="Compact"/>
        <w:numPr>
          <w:ilvl w:val="0"/>
          <w:numId w:val="1001"/>
        </w:numPr>
      </w:pPr>
      <w:r>
        <w:t xml:space="preserve">Without the pigmented algae, the coral’s transparent tissue reveals the white skeleton beneath — hence</w:t>
      </w:r>
      <w:r>
        <w:t xml:space="preserve"> </w:t>
      </w:r>
      <w:r>
        <w:t xml:space="preserve">“bleaching”</w:t>
      </w:r>
    </w:p>
    <w:p>
      <w:pPr>
        <w:pStyle w:val="FirstParagraph"/>
      </w:pPr>
      <w:r>
        <w:t xml:space="preserve">Bleached corals are not immediately dead but are severely compromised. If thermal stress is brief, corals can reacquire zooxanthellae and recover. If stress is prolonged, mortality follows.</w:t>
      </w:r>
    </w:p>
    <w:bookmarkEnd w:id="22"/>
    <w:bookmarkStart w:id="23" w:name="the-threshold"/>
    <w:p>
      <w:pPr>
        <w:pStyle w:val="Heading3"/>
      </w:pPr>
      <w:r>
        <w:t xml:space="preserve">The Threshold</w:t>
      </w:r>
    </w:p>
    <w:p>
      <w:pPr>
        <w:pStyle w:val="FirstParagraph"/>
      </w:pPr>
      <w:r>
        <w:t xml:space="preserve">The thermal margin for coral bleaching is remarkably narrow:</w:t>
      </w:r>
    </w:p>
    <w:p>
      <w:pPr>
        <w:pStyle w:val="Compact"/>
        <w:numPr>
          <w:ilvl w:val="0"/>
          <w:numId w:val="1002"/>
        </w:numPr>
      </w:pPr>
      <w:r>
        <w:rPr>
          <w:b/>
          <w:bCs/>
        </w:rPr>
        <w:t xml:space="preserve">Bleaching threshold</w:t>
      </w:r>
      <w:r>
        <w:t xml:space="preserve">: defined as just</w:t>
      </w:r>
      <w:r>
        <w:t xml:space="preserve"> </w:t>
      </w:r>
      <w:r>
        <w:rPr>
          <w:b/>
          <w:bCs/>
        </w:rPr>
        <w:t xml:space="preserve">1 degree C above the local Maximum Monthly Mean (MMM)</w:t>
      </w:r>
      <w:r>
        <w:t xml:space="preserve"> </w:t>
      </w:r>
      <w:r>
        <w:t xml:space="preserve">sea surface temperature</w:t>
      </w:r>
    </w:p>
    <w:p>
      <w:pPr>
        <w:pStyle w:val="Compact"/>
        <w:numPr>
          <w:ilvl w:val="0"/>
          <w:numId w:val="1002"/>
        </w:numPr>
      </w:pPr>
      <w:r>
        <w:t xml:space="preserve">Duration matters as much as intensity — even moderate exceedances sustained over days to weeks cause severe bleaching</w:t>
      </w:r>
    </w:p>
    <w:p>
      <w:pPr>
        <w:pStyle w:val="Compact"/>
        <w:numPr>
          <w:ilvl w:val="0"/>
          <w:numId w:val="1002"/>
        </w:numPr>
      </w:pPr>
      <w:r>
        <w:t xml:space="preserve">Corals have evolved to live near the upper limit of their thermal tolerance; even modest warming has pushed many reefs past their threshold with increasing frequency</w:t>
      </w:r>
    </w:p>
    <w:p>
      <w:pPr>
        <w:pStyle w:val="FirstParagraph"/>
      </w:pPr>
      <w:r>
        <w:rPr>
          <w:b/>
          <w:bCs/>
        </w:rPr>
        <w:t xml:space="preserve">Degree Heating Weeks (DHW)</w:t>
      </w:r>
      <w:r>
        <w:t xml:space="preserve"> </w:t>
      </w:r>
      <w:r>
        <w:t xml:space="preserve">is the standard metric for accumulated thermal stress, integrating both intensity and duration over a rolling 12-week window:</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DHW (degree C-weeks)</w:t>
            </w:r>
          </w:p>
        </w:tc>
        <w:tc>
          <w:tcPr/>
          <w:p>
            <w:pPr>
              <w:pStyle w:val="Compact"/>
            </w:pPr>
            <w:r>
              <w:t xml:space="preserve">Expected Outcome</w:t>
            </w:r>
          </w:p>
        </w:tc>
      </w:tr>
      <w:tr>
        <w:tc>
          <w:tcPr/>
          <w:p>
            <w:pPr>
              <w:pStyle w:val="Compact"/>
            </w:pPr>
            <w:r>
              <w:t xml:space="preserve">0–4</w:t>
            </w:r>
          </w:p>
        </w:tc>
        <w:tc>
          <w:tcPr/>
          <w:p>
            <w:pPr>
              <w:pStyle w:val="Compact"/>
            </w:pPr>
            <w:r>
              <w:t xml:space="preserve">Low-level stress; some bleaching possible</w:t>
            </w:r>
          </w:p>
        </w:tc>
      </w:tr>
      <w:tr>
        <w:tc>
          <w:tcPr/>
          <w:p>
            <w:pPr>
              <w:pStyle w:val="Compact"/>
            </w:pPr>
            <w:r>
              <w:t xml:space="preserve">4–8</w:t>
            </w:r>
          </w:p>
        </w:tc>
        <w:tc>
          <w:tcPr/>
          <w:p>
            <w:pPr>
              <w:pStyle w:val="Compact"/>
            </w:pPr>
            <w:r>
              <w:t xml:space="preserve">Significant bleaching likely</w:t>
            </w:r>
          </w:p>
        </w:tc>
      </w:tr>
      <w:tr>
        <w:tc>
          <w:tcPr/>
          <w:p>
            <w:pPr>
              <w:pStyle w:val="Compact"/>
            </w:pPr>
            <w:r>
              <w:t xml:space="preserve">8</w:t>
            </w:r>
          </w:p>
        </w:tc>
        <w:tc>
          <w:tcPr/>
          <w:p>
            <w:pPr>
              <w:pStyle w:val="Compact"/>
            </w:pPr>
            <w:r>
              <w:t xml:space="preserve">Reef-wide bleaching with mortality of heat-sensitive corals</w:t>
            </w:r>
          </w:p>
        </w:tc>
      </w:tr>
      <w:tr>
        <w:tc>
          <w:tcPr/>
          <w:p>
            <w:pPr>
              <w:pStyle w:val="Compact"/>
            </w:pPr>
            <w:r>
              <w:t xml:space="preserve">12+</w:t>
            </w:r>
          </w:p>
        </w:tc>
        <w:tc>
          <w:tcPr/>
          <w:p>
            <w:pPr>
              <w:pStyle w:val="Compact"/>
            </w:pPr>
            <w:r>
              <w:t xml:space="preserve">Multi-species mortality likely</w:t>
            </w:r>
          </w:p>
        </w:tc>
      </w:tr>
      <w:tr>
        <w:tc>
          <w:tcPr/>
          <w:p>
            <w:pPr>
              <w:pStyle w:val="Compact"/>
            </w:pPr>
            <w:r>
              <w:t xml:space="preserve">16+</w:t>
            </w:r>
          </w:p>
        </w:tc>
        <w:tc>
          <w:tcPr/>
          <w:p>
            <w:pPr>
              <w:pStyle w:val="Compact"/>
            </w:pPr>
            <w:r>
              <w:t xml:space="preserve">Severe mortality (&gt;50% of corals)</w:t>
            </w:r>
          </w:p>
        </w:tc>
      </w:tr>
      <w:tr>
        <w:tc>
          <w:tcPr/>
          <w:p>
            <w:pPr>
              <w:pStyle w:val="Compact"/>
            </w:pPr>
            <w:r>
              <w:t xml:space="preserve">20+</w:t>
            </w:r>
          </w:p>
        </w:tc>
        <w:tc>
          <w:tcPr/>
          <w:p>
            <w:pPr>
              <w:pStyle w:val="Compact"/>
            </w:pPr>
            <w:r>
              <w:t xml:space="preserve">Near-complete mortality (&gt;80% of corals)</w:t>
            </w:r>
          </w:p>
        </w:tc>
      </w:tr>
    </w:tbl>
    <w:p>
      <w:pPr>
        <w:pStyle w:val="BodyText"/>
      </w:pPr>
      <w:r>
        <w:t xml:space="preserve">The 4th global bleaching event (2023–2025) was so severe that NOAA had to extend their Bleaching Alert Scale, adding three new levels beyond the previous maximum.</w:t>
      </w:r>
    </w:p>
    <w:bookmarkEnd w:id="23"/>
    <w:bookmarkStart w:id="24" w:name="compounding-stressors"/>
    <w:p>
      <w:pPr>
        <w:pStyle w:val="Heading3"/>
      </w:pPr>
      <w:r>
        <w:t xml:space="preserve">Compounding Stressors</w:t>
      </w:r>
    </w:p>
    <w:p>
      <w:pPr>
        <w:pStyle w:val="FirstParagraph"/>
      </w:pPr>
      <w:r>
        <w:t xml:space="preserve">Thermal stress does not act in isolation. Several other stressors compound the impact:</w:t>
      </w:r>
    </w:p>
    <w:p>
      <w:pPr>
        <w:pStyle w:val="Compact"/>
        <w:numPr>
          <w:ilvl w:val="0"/>
          <w:numId w:val="1003"/>
        </w:numPr>
      </w:pPr>
      <w:r>
        <w:rPr>
          <w:b/>
          <w:bCs/>
        </w:rPr>
        <w:t xml:space="preserve">Ocean acidification</w:t>
      </w:r>
      <w:r>
        <w:t xml:space="preserve">: the ocean has absorbed ~30% of anthropogenic CO2, lowering pH by ~0.1 units. On the GBR, this has caused a 13% decline in skeletal density of massive</w:t>
      </w:r>
      <w:r>
        <w:t xml:space="preserve"> </w:t>
      </w:r>
      <w:r>
        <w:rPr>
          <w:i/>
          <w:iCs/>
        </w:rPr>
        <w:t xml:space="preserve">Porites</w:t>
      </w:r>
      <w:r>
        <w:t xml:space="preserve"> </w:t>
      </w:r>
      <w:r>
        <w:t xml:space="preserve">corals since 1950</w:t>
      </w:r>
    </w:p>
    <w:p>
      <w:pPr>
        <w:pStyle w:val="Compact"/>
        <w:numPr>
          <w:ilvl w:val="0"/>
          <w:numId w:val="1003"/>
        </w:numPr>
      </w:pPr>
      <w:r>
        <w:rPr>
          <w:b/>
          <w:bCs/>
        </w:rPr>
        <w:t xml:space="preserve">Crown-of-thorns starfish (COTS)</w:t>
      </w:r>
      <w:r>
        <w:t xml:space="preserve">: during outbreaks can strip 90% of living coral. Four successive outbreak waves since the 1960s, linked to agricultural runoff</w:t>
      </w:r>
    </w:p>
    <w:p>
      <w:pPr>
        <w:pStyle w:val="Compact"/>
        <w:numPr>
          <w:ilvl w:val="0"/>
          <w:numId w:val="1003"/>
        </w:numPr>
      </w:pPr>
      <w:r>
        <w:rPr>
          <w:b/>
          <w:bCs/>
        </w:rPr>
        <w:t xml:space="preserve">Sediment runoff</w:t>
      </w:r>
      <w:r>
        <w:t xml:space="preserve">: smothers coral and blocks light. Main sources are grazing lands and sugarcane</w:t>
      </w:r>
    </w:p>
    <w:p>
      <w:pPr>
        <w:pStyle w:val="Compact"/>
        <w:numPr>
          <w:ilvl w:val="0"/>
          <w:numId w:val="1003"/>
        </w:numPr>
      </w:pPr>
      <w:r>
        <w:rPr>
          <w:b/>
          <w:bCs/>
        </w:rPr>
        <w:t xml:space="preserve">Tropical cyclones</w:t>
      </w:r>
      <w:r>
        <w:t xml:space="preserve">: physical destruction of reef structures, particularly branching corals</w:t>
      </w:r>
    </w:p>
    <w:p>
      <w:r>
        <w:pict>
          <v:rect style="width:0;height:1.5pt" o:hralign="center" o:hrstd="t" o:hr="t"/>
        </w:pict>
      </w:r>
    </w:p>
    <w:bookmarkEnd w:id="24"/>
    <w:bookmarkEnd w:id="25"/>
    <w:bookmarkStart w:id="30" w:name="the-bleaching-record"/>
    <w:p>
      <w:pPr>
        <w:pStyle w:val="Heading2"/>
      </w:pPr>
      <w:r>
        <w:t xml:space="preserve">2. The Bleaching Record</w:t>
      </w:r>
    </w:p>
    <w:bookmarkStart w:id="26" w:name="eight-mass-events-in-27-years"/>
    <w:p>
      <w:pPr>
        <w:pStyle w:val="Heading3"/>
      </w:pPr>
      <w:r>
        <w:t xml:space="preserve">Eight Mass Events in 27 Years</w:t>
      </w:r>
    </w:p>
    <w:tbl>
      <w:tblPr>
        <w:tblStyle w:val="Table"/>
        <w:tblW w:type="pct" w:w="5000"/>
        <w:tblLayout w:type="fixed"/>
        <w:tblLook w:firstRow="1" w:lastRow="0" w:firstColumn="0" w:lastColumn="0" w:noHBand="0" w:noVBand="0" w:val="0020"/>
      </w:tblPr>
      <w:tblGrid>
        <w:gridCol w:w="896"/>
        <w:gridCol w:w="1643"/>
        <w:gridCol w:w="3586"/>
        <w:gridCol w:w="1793"/>
      </w:tblGrid>
      <w:tr>
        <w:trPr>
          <w:tblHeader w:val="on"/>
        </w:trPr>
        <w:tc>
          <w:tcPr/>
          <w:p>
            <w:pPr>
              <w:pStyle w:val="Compact"/>
            </w:pPr>
            <w:r>
              <w:t xml:space="preserve">Year</w:t>
            </w:r>
          </w:p>
        </w:tc>
        <w:tc>
          <w:tcPr/>
          <w:p>
            <w:pPr>
              <w:pStyle w:val="Compact"/>
            </w:pPr>
            <w:r>
              <w:t xml:space="preserve">ENSO Phase</w:t>
            </w:r>
          </w:p>
        </w:tc>
        <w:tc>
          <w:tcPr/>
          <w:p>
            <w:pPr>
              <w:pStyle w:val="Compact"/>
            </w:pPr>
            <w:r>
              <w:t xml:space="preserve">Region(s) Most Affected</w:t>
            </w:r>
          </w:p>
        </w:tc>
        <w:tc>
          <w:tcPr/>
          <w:p>
            <w:pPr>
              <w:pStyle w:val="Compact"/>
            </w:pPr>
            <w:r>
              <w:t xml:space="preserve">Key Detail</w:t>
            </w:r>
          </w:p>
        </w:tc>
      </w:tr>
      <w:tr>
        <w:tc>
          <w:tcPr/>
          <w:p>
            <w:pPr>
              <w:pStyle w:val="Compact"/>
            </w:pPr>
            <w:r>
              <w:t xml:space="preserve">1998</w:t>
            </w:r>
          </w:p>
        </w:tc>
        <w:tc>
          <w:tcPr/>
          <w:p>
            <w:pPr>
              <w:pStyle w:val="Compact"/>
            </w:pPr>
            <w:r>
              <w:t xml:space="preserve">Strong El Nino</w:t>
            </w:r>
          </w:p>
        </w:tc>
        <w:tc>
          <w:tcPr/>
          <w:p>
            <w:pPr>
              <w:pStyle w:val="Compact"/>
            </w:pPr>
            <w:r>
              <w:t xml:space="preserve">Northern</w:t>
            </w:r>
          </w:p>
        </w:tc>
        <w:tc>
          <w:tcPr/>
          <w:p>
            <w:pPr>
              <w:pStyle w:val="Compact"/>
            </w:pPr>
            <w:r>
              <w:t xml:space="preserve">First documented mass bleaching; most reefs recovered</w:t>
            </w:r>
          </w:p>
        </w:tc>
      </w:tr>
      <w:tr>
        <w:tc>
          <w:tcPr/>
          <w:p>
            <w:pPr>
              <w:pStyle w:val="Compact"/>
            </w:pPr>
            <w:r>
              <w:t xml:space="preserve">2002</w:t>
            </w:r>
          </w:p>
        </w:tc>
        <w:tc>
          <w:tcPr/>
          <w:p>
            <w:pPr>
              <w:pStyle w:val="Compact"/>
            </w:pPr>
            <w:r>
              <w:t xml:space="preserve">Moderate El Nino</w:t>
            </w:r>
          </w:p>
        </w:tc>
        <w:tc>
          <w:tcPr/>
          <w:p>
            <w:pPr>
              <w:pStyle w:val="Compact"/>
            </w:pPr>
            <w:r>
              <w:t xml:space="preserve">Northern, central</w:t>
            </w:r>
          </w:p>
        </w:tc>
        <w:tc>
          <w:tcPr/>
          <w:p>
            <w:pPr>
              <w:pStyle w:val="Compact"/>
            </w:pPr>
            <w:r>
              <w:t xml:space="preserve">54% of 641 surveyed reefs bleached</w:t>
            </w:r>
          </w:p>
        </w:tc>
      </w:tr>
      <w:tr>
        <w:tc>
          <w:tcPr/>
          <w:p>
            <w:pPr>
              <w:pStyle w:val="Compact"/>
            </w:pPr>
            <w:r>
              <w:t xml:space="preserve">2016</w:t>
            </w:r>
          </w:p>
        </w:tc>
        <w:tc>
          <w:tcPr/>
          <w:p>
            <w:pPr>
              <w:pStyle w:val="Compact"/>
            </w:pPr>
            <w:r>
              <w:t xml:space="preserve">Strong El Nino</w:t>
            </w:r>
          </w:p>
        </w:tc>
        <w:tc>
          <w:tcPr/>
          <w:p>
            <w:pPr>
              <w:pStyle w:val="Compact"/>
            </w:pPr>
            <w:r>
              <w:t xml:space="preserve">Northern (most severe)</w:t>
            </w:r>
          </w:p>
        </w:tc>
        <w:tc>
          <w:tcPr/>
          <w:p>
            <w:pPr>
              <w:pStyle w:val="Compact"/>
            </w:pPr>
            <w:r>
              <w:t xml:space="preserve">Killed 29–50% of coral; most destructive to date</w:t>
            </w:r>
          </w:p>
        </w:tc>
      </w:tr>
      <w:tr>
        <w:tc>
          <w:tcPr/>
          <w:p>
            <w:pPr>
              <w:pStyle w:val="Compact"/>
            </w:pPr>
            <w:r>
              <w:t xml:space="preserve">2017</w:t>
            </w:r>
          </w:p>
        </w:tc>
        <w:tc>
          <w:tcPr/>
          <w:p>
            <w:pPr>
              <w:pStyle w:val="Compact"/>
            </w:pPr>
            <w:r>
              <w:t xml:space="preserve">Neutral</w:t>
            </w:r>
          </w:p>
        </w:tc>
        <w:tc>
          <w:tcPr/>
          <w:p>
            <w:pPr>
              <w:pStyle w:val="Compact"/>
            </w:pPr>
            <w:r>
              <w:t xml:space="preserve">Central</w:t>
            </w:r>
          </w:p>
        </w:tc>
        <w:tc>
          <w:tcPr/>
          <w:p>
            <w:pPr>
              <w:pStyle w:val="Compact"/>
            </w:pPr>
            <w:r>
              <w:t xml:space="preserve">Back-to-back with 2016; combined damage to two-thirds of GBR</w:t>
            </w:r>
          </w:p>
        </w:tc>
      </w:tr>
      <w:tr>
        <w:tc>
          <w:tcPr/>
          <w:p>
            <w:pPr>
              <w:pStyle w:val="Compact"/>
            </w:pPr>
            <w:r>
              <w:t xml:space="preserve">2020</w:t>
            </w:r>
          </w:p>
        </w:tc>
        <w:tc>
          <w:tcPr/>
          <w:p>
            <w:pPr>
              <w:pStyle w:val="Compact"/>
            </w:pPr>
            <w:r>
              <w:t xml:space="preserve">Weak La Nina</w:t>
            </w:r>
          </w:p>
        </w:tc>
        <w:tc>
          <w:tcPr/>
          <w:p>
            <w:pPr>
              <w:pStyle w:val="Compact"/>
            </w:pPr>
            <w:r>
              <w:t xml:space="preserve">All regions</w:t>
            </w:r>
          </w:p>
        </w:tc>
        <w:tc>
          <w:tcPr/>
          <w:p>
            <w:pPr>
              <w:pStyle w:val="Compact"/>
            </w:pPr>
            <w:r>
              <w:t xml:space="preserve">First significant southern GBR bleaching</w:t>
            </w:r>
          </w:p>
        </w:tc>
      </w:tr>
      <w:tr>
        <w:tc>
          <w:tcPr/>
          <w:p>
            <w:pPr>
              <w:pStyle w:val="Compact"/>
            </w:pPr>
            <w:r>
              <w:t xml:space="preserve">2022</w:t>
            </w:r>
          </w:p>
        </w:tc>
        <w:tc>
          <w:tcPr/>
          <w:p>
            <w:pPr>
              <w:pStyle w:val="Compact"/>
            </w:pPr>
            <w:r>
              <w:t xml:space="preserve">La Nina</w:t>
            </w:r>
          </w:p>
        </w:tc>
        <w:tc>
          <w:tcPr/>
          <w:p>
            <w:pPr>
              <w:pStyle w:val="Compact"/>
            </w:pPr>
            <w:r>
              <w:t xml:space="preserve">All regions</w:t>
            </w:r>
          </w:p>
        </w:tc>
        <w:tc>
          <w:tcPr/>
          <w:p>
            <w:pPr>
              <w:pStyle w:val="Compact"/>
            </w:pPr>
            <w:r>
              <w:rPr>
                <w:b/>
                <w:bCs/>
              </w:rPr>
              <w:t xml:space="preserve">First bleaching during La Nina</w:t>
            </w:r>
            <w:r>
              <w:t xml:space="preserve"> </w:t>
            </w:r>
            <w:r>
              <w:t xml:space="preserve">— 91% of surveyed reefs</w:t>
            </w:r>
          </w:p>
        </w:tc>
      </w:tr>
      <w:tr>
        <w:tc>
          <w:tcPr/>
          <w:p>
            <w:pPr>
              <w:pStyle w:val="Compact"/>
            </w:pPr>
            <w:r>
              <w:t xml:space="preserve">2024</w:t>
            </w:r>
          </w:p>
        </w:tc>
        <w:tc>
          <w:tcPr/>
          <w:p>
            <w:pPr>
              <w:pStyle w:val="Compact"/>
            </w:pPr>
            <w:r>
              <w:t xml:space="preserve">Transitioning</w:t>
            </w:r>
          </w:p>
        </w:tc>
        <w:tc>
          <w:tcPr/>
          <w:p>
            <w:pPr>
              <w:pStyle w:val="Compact"/>
            </w:pPr>
            <w:r>
              <w:t xml:space="preserve">All regions</w:t>
            </w:r>
          </w:p>
        </w:tc>
        <w:tc>
          <w:tcPr/>
          <w:p>
            <w:pPr>
              <w:pStyle w:val="Compact"/>
            </w:pPr>
            <w:r>
              <w:rPr>
                <w:b/>
                <w:bCs/>
              </w:rPr>
              <w:t xml:space="preserve">Largest spatial extent ever</w:t>
            </w:r>
            <w:r>
              <w:t xml:space="preserve"> </w:t>
            </w:r>
            <w:r>
              <w:t xml:space="preserve">— 74% of 1,080 reefs</w:t>
            </w:r>
          </w:p>
        </w:tc>
      </w:tr>
      <w:tr>
        <w:tc>
          <w:tcPr/>
          <w:p>
            <w:pPr>
              <w:pStyle w:val="Compact"/>
            </w:pPr>
            <w:r>
              <w:t xml:space="preserve">2025</w:t>
            </w:r>
          </w:p>
        </w:tc>
        <w:tc>
          <w:tcPr/>
          <w:p>
            <w:pPr>
              <w:pStyle w:val="Compact"/>
            </w:pPr>
            <w:r>
              <w:t xml:space="preserve">Neutral</w:t>
            </w:r>
          </w:p>
        </w:tc>
        <w:tc>
          <w:tcPr/>
          <w:p>
            <w:pPr>
              <w:pStyle w:val="Compact"/>
            </w:pPr>
            <w:r>
              <w:t xml:space="preserve">Northern, Far Northern</w:t>
            </w:r>
          </w:p>
        </w:tc>
        <w:tc>
          <w:tcPr/>
          <w:p>
            <w:pPr>
              <w:pStyle w:val="Compact"/>
            </w:pPr>
            <w:r>
              <w:t xml:space="preserve">Sixth event since 2016; second consecutive year</w:t>
            </w:r>
          </w:p>
        </w:tc>
      </w:tr>
    </w:tbl>
    <w:bookmarkEnd w:id="26"/>
    <w:bookmarkStart w:id="27" w:name="the-shrinking-recovery-window"/>
    <w:p>
      <w:pPr>
        <w:pStyle w:val="Heading3"/>
      </w:pPr>
      <w:r>
        <w:t xml:space="preserve">The Shrinking Recovery Window</w:t>
      </w:r>
    </w:p>
    <w:p>
      <w:pPr>
        <w:pStyle w:val="FirstParagraph"/>
      </w:pPr>
      <w:r>
        <w:t xml:space="preserve">Full reef recovery from large-scale disturbance typically takes 10–15 years. The intervals between events have collapsed:</w:t>
      </w:r>
    </w:p>
    <w:p>
      <w:pPr>
        <w:pStyle w:val="Compact"/>
        <w:numPr>
          <w:ilvl w:val="0"/>
          <w:numId w:val="1004"/>
        </w:numPr>
      </w:pPr>
      <w:r>
        <w:t xml:space="preserve">1998 to 2002: 4 years</w:t>
      </w:r>
    </w:p>
    <w:p>
      <w:pPr>
        <w:pStyle w:val="Compact"/>
        <w:numPr>
          <w:ilvl w:val="0"/>
          <w:numId w:val="1004"/>
        </w:numPr>
      </w:pPr>
      <w:r>
        <w:t xml:space="preserve">2002 to 2016: 14 years (adequate recovery)</w:t>
      </w:r>
    </w:p>
    <w:p>
      <w:pPr>
        <w:pStyle w:val="Compact"/>
        <w:numPr>
          <w:ilvl w:val="0"/>
          <w:numId w:val="1004"/>
        </w:numPr>
      </w:pPr>
      <w:r>
        <w:t xml:space="preserve">2016 to 2017:</w:t>
      </w:r>
      <w:r>
        <w:t xml:space="preserve"> </w:t>
      </w:r>
      <w:r>
        <w:rPr>
          <w:b/>
          <w:bCs/>
        </w:rPr>
        <w:t xml:space="preserve">1 year</w:t>
      </w:r>
    </w:p>
    <w:p>
      <w:pPr>
        <w:pStyle w:val="Compact"/>
        <w:numPr>
          <w:ilvl w:val="0"/>
          <w:numId w:val="1004"/>
        </w:numPr>
      </w:pPr>
      <w:r>
        <w:t xml:space="preserve">2017 to 2020: 3 years</w:t>
      </w:r>
    </w:p>
    <w:p>
      <w:pPr>
        <w:pStyle w:val="Compact"/>
        <w:numPr>
          <w:ilvl w:val="0"/>
          <w:numId w:val="1004"/>
        </w:numPr>
      </w:pPr>
      <w:r>
        <w:t xml:space="preserve">2020 to 2022: 2 years</w:t>
      </w:r>
    </w:p>
    <w:p>
      <w:pPr>
        <w:pStyle w:val="Compact"/>
        <w:numPr>
          <w:ilvl w:val="0"/>
          <w:numId w:val="1004"/>
        </w:numPr>
      </w:pPr>
      <w:r>
        <w:t xml:space="preserve">2022 to 2024: 2 years</w:t>
      </w:r>
    </w:p>
    <w:p>
      <w:pPr>
        <w:pStyle w:val="Compact"/>
        <w:numPr>
          <w:ilvl w:val="0"/>
          <w:numId w:val="1004"/>
        </w:numPr>
      </w:pPr>
      <w:r>
        <w:t xml:space="preserve">2024 to 2025:</w:t>
      </w:r>
      <w:r>
        <w:t xml:space="preserve"> </w:t>
      </w:r>
      <w:r>
        <w:rPr>
          <w:b/>
          <w:bCs/>
        </w:rPr>
        <w:t xml:space="preserve">1 year</w:t>
      </w:r>
    </w:p>
    <w:p>
      <w:pPr>
        <w:pStyle w:val="FirstParagraph"/>
      </w:pPr>
      <w:r>
        <w:t xml:space="preserve">With events now occurring every 1–2 years against a minimum recovery window of 10–15 years, the reef is experiencing cumulative stress without adequate recovery.</w:t>
      </w:r>
    </w:p>
    <w:bookmarkEnd w:id="27"/>
    <w:bookmarkStart w:id="28" w:name="the-year-la-nina-failed"/>
    <w:p>
      <w:pPr>
        <w:pStyle w:val="Heading3"/>
      </w:pPr>
      <w:r>
        <w:t xml:space="preserve">2022: The Year La Nina Failed</w:t>
      </w:r>
    </w:p>
    <w:p>
      <w:pPr>
        <w:pStyle w:val="FirstParagraph"/>
      </w:pPr>
      <w:r>
        <w:t xml:space="preserve">The 2022 event was a watershed. La Nina conditions historically produce cooler summers, higher cloud cover, and lower bleaching risk on the GBR. Despite this, 91% of surveyed reefs bleached. The cause: even with La Nina’s cooling influence, the baseline SST has risen sufficiently that La Nina summers now exceed the bleaching threshold that existed during El Nino years just decades ago.</w:t>
      </w:r>
    </w:p>
    <w:p>
      <w:pPr>
        <w:pStyle w:val="BodyText"/>
      </w:pPr>
      <w:r>
        <w:rPr>
          <w:b/>
          <w:bCs/>
        </w:rPr>
        <w:t xml:space="preserve">The safety net of La Nina years has been lost.</w:t>
      </w:r>
    </w:p>
    <w:bookmarkEnd w:id="28"/>
    <w:bookmarkStart w:id="29" w:name="the-pattern"/>
    <w:p>
      <w:pPr>
        <w:pStyle w:val="Heading3"/>
      </w:pPr>
      <w:r>
        <w:t xml:space="preserve">The Pattern</w:t>
      </w:r>
    </w:p>
    <w:p>
      <w:pPr>
        <w:pStyle w:val="FirstParagraph"/>
      </w:pPr>
      <w:r>
        <w:t xml:space="preserve">The trajectory shows bleaching evolving from regionally concentrated and recoverable events (1998–2002) to reef-wide, severe events too frequent for recovery (2016–present). Earlier events left unaffected areas as larval sources for recolonisation; recent events eliminate geographic refugia.</w:t>
      </w:r>
    </w:p>
    <w:p>
      <w:r>
        <w:pict>
          <v:rect style="width:0;height:1.5pt" o:hralign="center" o:hrstd="t" o:hr="t"/>
        </w:pict>
      </w:r>
    </w:p>
    <w:bookmarkEnd w:id="29"/>
    <w:bookmarkEnd w:id="30"/>
    <w:bookmarkStart w:id="34" w:name="current-reef-condition"/>
    <w:p>
      <w:pPr>
        <w:pStyle w:val="Heading2"/>
      </w:pPr>
      <w:r>
        <w:t xml:space="preserve">3. Current Reef Condition</w:t>
      </w:r>
    </w:p>
    <w:bookmarkStart w:id="31" w:name="aims-long-term-monitoring-202425"/>
    <w:p>
      <w:pPr>
        <w:pStyle w:val="Heading3"/>
      </w:pPr>
      <w:r>
        <w:t xml:space="preserve">AIMS Long-Term Monitoring (2024/25)</w:t>
      </w:r>
    </w:p>
    <w:p>
      <w:pPr>
        <w:pStyle w:val="FirstParagraph"/>
      </w:pPr>
      <w:r>
        <w:t xml:space="preserve">The AIMS Annual Summary Report (published August 2025) recorded the sharpest coral cover declines following the 2024 mass bleaching:</w:t>
      </w:r>
    </w:p>
    <w:tbl>
      <w:tblPr>
        <w:tblStyle w:val="Table"/>
        <w:tblW w:type="pct" w:w="5000"/>
        <w:tblLayout w:type="fixed"/>
        <w:tblLook w:firstRow="1" w:lastRow="0" w:firstColumn="0" w:lastColumn="0" w:noHBand="0" w:noVBand="0" w:val="0020"/>
      </w:tblPr>
      <w:tblGrid>
        <w:gridCol w:w="1092"/>
        <w:gridCol w:w="1502"/>
        <w:gridCol w:w="1502"/>
        <w:gridCol w:w="1228"/>
        <w:gridCol w:w="2594"/>
      </w:tblGrid>
      <w:tr>
        <w:trPr>
          <w:tblHeader w:val="on"/>
        </w:trPr>
        <w:tc>
          <w:tcPr/>
          <w:p>
            <w:pPr>
              <w:pStyle w:val="Compact"/>
            </w:pPr>
            <w:r>
              <w:t xml:space="preserve">Region</w:t>
            </w:r>
          </w:p>
        </w:tc>
        <w:tc>
          <w:tcPr/>
          <w:p>
            <w:pPr>
              <w:pStyle w:val="Compact"/>
            </w:pPr>
            <w:r>
              <w:t xml:space="preserve">2024 Cover</w:t>
            </w:r>
          </w:p>
        </w:tc>
        <w:tc>
          <w:tcPr/>
          <w:p>
            <w:pPr>
              <w:pStyle w:val="Compact"/>
            </w:pPr>
            <w:r>
              <w:t xml:space="preserve">2025 Cover</w:t>
            </w:r>
          </w:p>
        </w:tc>
        <w:tc>
          <w:tcPr/>
          <w:p>
            <w:pPr>
              <w:pStyle w:val="Compact"/>
            </w:pPr>
            <w:r>
              <w:t xml:space="preserve">Decline</w:t>
            </w:r>
          </w:p>
        </w:tc>
        <w:tc>
          <w:tcPr/>
          <w:p>
            <w:pPr>
              <w:pStyle w:val="Compact"/>
            </w:pPr>
            <w:r>
              <w:t xml:space="preserve">Long-term Average</w:t>
            </w:r>
          </w:p>
        </w:tc>
      </w:tr>
      <w:tr>
        <w:tc>
          <w:tcPr/>
          <w:p>
            <w:pPr>
              <w:pStyle w:val="Compact"/>
            </w:pPr>
            <w:r>
              <w:t xml:space="preserve">Northern</w:t>
            </w:r>
          </w:p>
        </w:tc>
        <w:tc>
          <w:tcPr/>
          <w:p>
            <w:pPr>
              <w:pStyle w:val="Compact"/>
            </w:pPr>
            <w:r>
              <w:t xml:space="preserve">39.8%</w:t>
            </w:r>
          </w:p>
        </w:tc>
        <w:tc>
          <w:tcPr/>
          <w:p>
            <w:pPr>
              <w:pStyle w:val="Compact"/>
            </w:pPr>
            <w:r>
              <w:t xml:space="preserve">30.0%</w:t>
            </w:r>
          </w:p>
        </w:tc>
        <w:tc>
          <w:tcPr/>
          <w:p>
            <w:pPr>
              <w:pStyle w:val="Compact"/>
            </w:pPr>
            <w:r>
              <w:rPr>
                <w:b/>
                <w:bCs/>
              </w:rPr>
              <w:t xml:space="preserve">-24.8%</w:t>
            </w:r>
            <w:r>
              <w:t xml:space="preserve"> </w:t>
            </w:r>
            <w:r>
              <w:t xml:space="preserve">(largest ever)</w:t>
            </w:r>
          </w:p>
        </w:tc>
        <w:tc>
          <w:tcPr/>
          <w:p>
            <w:pPr>
              <w:pStyle w:val="Compact"/>
            </w:pPr>
            <w:r>
              <w:t xml:space="preserve">N/A</w:t>
            </w:r>
          </w:p>
        </w:tc>
      </w:tr>
      <w:tr>
        <w:tc>
          <w:tcPr/>
          <w:p>
            <w:pPr>
              <w:pStyle w:val="Compact"/>
            </w:pPr>
            <w:r>
              <w:t xml:space="preserve">Central</w:t>
            </w:r>
          </w:p>
        </w:tc>
        <w:tc>
          <w:tcPr/>
          <w:p>
            <w:pPr>
              <w:pStyle w:val="Compact"/>
            </w:pPr>
            <w:r>
              <w:t xml:space="preserve">33.2%</w:t>
            </w:r>
          </w:p>
        </w:tc>
        <w:tc>
          <w:tcPr/>
          <w:p>
            <w:pPr>
              <w:pStyle w:val="Compact"/>
            </w:pPr>
            <w:r>
              <w:t xml:space="preserve">28.6%</w:t>
            </w:r>
          </w:p>
        </w:tc>
        <w:tc>
          <w:tcPr/>
          <w:p>
            <w:pPr>
              <w:pStyle w:val="Compact"/>
            </w:pPr>
            <w:r>
              <w:t xml:space="preserve">-13.9%</w:t>
            </w:r>
          </w:p>
        </w:tc>
        <w:tc>
          <w:tcPr/>
          <w:p>
            <w:pPr>
              <w:pStyle w:val="Compact"/>
            </w:pPr>
            <w:r>
              <w:t xml:space="preserve">19.8% (still above)</w:t>
            </w:r>
          </w:p>
        </w:tc>
      </w:tr>
      <w:tr>
        <w:tc>
          <w:tcPr/>
          <w:p>
            <w:pPr>
              <w:pStyle w:val="Compact"/>
            </w:pPr>
            <w:r>
              <w:t xml:space="preserve">Southern</w:t>
            </w:r>
          </w:p>
        </w:tc>
        <w:tc>
          <w:tcPr/>
          <w:p>
            <w:pPr>
              <w:pStyle w:val="Compact"/>
            </w:pPr>
            <w:r>
              <w:t xml:space="preserve">38.9%</w:t>
            </w:r>
          </w:p>
        </w:tc>
        <w:tc>
          <w:tcPr/>
          <w:p>
            <w:pPr>
              <w:pStyle w:val="Compact"/>
            </w:pPr>
            <w:r>
              <w:t xml:space="preserve">26.9%</w:t>
            </w:r>
          </w:p>
        </w:tc>
        <w:tc>
          <w:tcPr/>
          <w:p>
            <w:pPr>
              <w:pStyle w:val="Compact"/>
            </w:pPr>
            <w:r>
              <w:rPr>
                <w:b/>
                <w:bCs/>
              </w:rPr>
              <w:t xml:space="preserve">-30.6%</w:t>
            </w:r>
            <w:r>
              <w:t xml:space="preserve"> </w:t>
            </w:r>
            <w:r>
              <w:t xml:space="preserve">(largest ever)</w:t>
            </w:r>
          </w:p>
        </w:tc>
        <w:tc>
          <w:tcPr/>
          <w:p>
            <w:pPr>
              <w:pStyle w:val="Compact"/>
            </w:pPr>
            <w:r>
              <w:t xml:space="preserve">29.3% (now below)</w:t>
            </w:r>
          </w:p>
        </w:tc>
      </w:tr>
    </w:tbl>
    <w:p>
      <w:pPr>
        <w:pStyle w:val="BodyText"/>
      </w:pPr>
      <w:r>
        <w:t xml:space="preserve">The data reveals an important tension: the reef had reached relatively high coral cover levels before the 2024 bleaching, demonstrating ongoing resilience. But the sharp declines show this recovery can be rapidly reversed — the reef is becoming</w:t>
      </w:r>
      <w:r>
        <w:t xml:space="preserve"> </w:t>
      </w:r>
      <w:r>
        <w:t xml:space="preserve">“more volatile,”</w:t>
      </w:r>
      <w:r>
        <w:t xml:space="preserve"> </w:t>
      </w:r>
      <w:r>
        <w:t xml:space="preserve">with larger swings in coral cover.</w:t>
      </w:r>
    </w:p>
    <w:bookmarkEnd w:id="31"/>
    <w:bookmarkStart w:id="32" w:name="the-400-year-temperature-record"/>
    <w:p>
      <w:pPr>
        <w:pStyle w:val="Heading3"/>
      </w:pPr>
      <w:r>
        <w:t xml:space="preserve">The 400-Year Temperature Record</w:t>
      </w:r>
    </w:p>
    <w:p>
      <w:pPr>
        <w:pStyle w:val="FirstParagraph"/>
      </w:pPr>
      <w:r>
        <w:t xml:space="preserve">A 2024</w:t>
      </w:r>
      <w:r>
        <w:t xml:space="preserve"> </w:t>
      </w:r>
      <w:r>
        <w:rPr>
          <w:i/>
          <w:iCs/>
        </w:rPr>
        <w:t xml:space="preserve">Nature</w:t>
      </w:r>
      <w:r>
        <w:t xml:space="preserve"> </w:t>
      </w:r>
      <w:r>
        <w:t xml:space="preserve">study reconstructed 400 years of Coral Sea temperatures using geochemical data from coral cores. The six warmest years in the entire record all occurred in the last two decades, with 2024 the warmest by a large margin. This closes the argument that recent bleaching could be due to natural variability.</w:t>
      </w:r>
    </w:p>
    <w:bookmarkEnd w:id="32"/>
    <w:bookmarkStart w:id="33" w:name="gbrmpa-outlook-report-2024"/>
    <w:p>
      <w:pPr>
        <w:pStyle w:val="Heading3"/>
      </w:pPr>
      <w:r>
        <w:t xml:space="preserve">GBRMPA Outlook Report 2024</w:t>
      </w:r>
    </w:p>
    <w:p>
      <w:pPr>
        <w:pStyle w:val="FirstParagraph"/>
      </w:pPr>
      <w:r>
        <w:t xml:space="preserve">The overall outlook:</w:t>
      </w:r>
      <w:r>
        <w:t xml:space="preserve"> </w:t>
      </w:r>
      <w:r>
        <w:rPr>
          <w:i/>
          <w:iCs/>
        </w:rPr>
        <w:t xml:space="preserve">“future deterioration due largely to climate change.”</w:t>
      </w:r>
      <w:r>
        <w:t xml:space="preserve"> </w:t>
      </w:r>
      <w:r>
        <w:t xml:space="preserve">Some ecosystems showed improvement during the reporting period, indicating the reef retains natural resilience. However, the Outlook Report did not include the impacts of the 2023–24 summer’s mass bleaching (the largest on record), presenting a somewhat more optimistic picture than the post-bleaching reality.</w:t>
      </w:r>
    </w:p>
    <w:p>
      <w:r>
        <w:pict>
          <v:rect style="width:0;height:1.5pt" o:hralign="center" o:hrstd="t" o:hr="t"/>
        </w:pict>
      </w:r>
    </w:p>
    <w:bookmarkEnd w:id="33"/>
    <w:bookmarkEnd w:id="34"/>
    <w:bookmarkStart w:id="39" w:name="the-outlook"/>
    <w:p>
      <w:pPr>
        <w:pStyle w:val="Heading2"/>
      </w:pPr>
      <w:r>
        <w:t xml:space="preserve">4. The Outlook</w:t>
      </w:r>
    </w:p>
    <w:bookmarkStart w:id="35" w:name="temperature-scenarios"/>
    <w:p>
      <w:pPr>
        <w:pStyle w:val="Heading3"/>
      </w:pPr>
      <w:r>
        <w:t xml:space="preserve">Temperature Scenarios</w:t>
      </w:r>
    </w:p>
    <w:p>
      <w:pPr>
        <w:pStyle w:val="FirstParagraph"/>
      </w:pPr>
      <w:r>
        <w:t xml:space="preserve">The IPCC AR6 and subsequent research provide stark projections:</w:t>
      </w:r>
    </w:p>
    <w:tbl>
      <w:tblPr>
        <w:tblStyle w:val="Table"/>
        <w:tblW w:type="pct" w:w="5000"/>
        <w:tblLayout w:type="fixed"/>
        <w:tblLook w:firstRow="1" w:lastRow="0" w:firstColumn="0" w:lastColumn="0" w:noHBand="0" w:noVBand="0" w:val="0020"/>
      </w:tblPr>
      <w:tblGrid>
        <w:gridCol w:w="2424"/>
        <w:gridCol w:w="3555"/>
        <w:gridCol w:w="1939"/>
      </w:tblGrid>
      <w:tr>
        <w:trPr>
          <w:tblHeader w:val="on"/>
        </w:trPr>
        <w:tc>
          <w:tcPr/>
          <w:p>
            <w:pPr>
              <w:pStyle w:val="Compact"/>
            </w:pPr>
            <w:r>
              <w:t xml:space="preserve">Warming Level</w:t>
            </w:r>
          </w:p>
        </w:tc>
        <w:tc>
          <w:tcPr/>
          <w:p>
            <w:pPr>
              <w:pStyle w:val="Compact"/>
            </w:pPr>
            <w:r>
              <w:t xml:space="preserve">Expected Coral Outcome</w:t>
            </w:r>
          </w:p>
        </w:tc>
        <w:tc>
          <w:tcPr/>
          <w:p>
            <w:pPr>
              <w:pStyle w:val="Compact"/>
            </w:pPr>
            <w:r>
              <w:t xml:space="preserve">Likelihood</w:t>
            </w:r>
          </w:p>
        </w:tc>
      </w:tr>
      <w:tr>
        <w:tc>
          <w:tcPr/>
          <w:p>
            <w:pPr>
              <w:pStyle w:val="Compact"/>
            </w:pPr>
            <w:r>
              <w:t xml:space="preserve">1.5 degree C</w:t>
            </w:r>
          </w:p>
        </w:tc>
        <w:tc>
          <w:tcPr/>
          <w:p>
            <w:pPr>
              <w:pStyle w:val="Compact"/>
            </w:pPr>
            <w:r>
              <w:t xml:space="preserve">70–90% of reefs lost</w:t>
            </w:r>
          </w:p>
        </w:tc>
        <w:tc>
          <w:tcPr/>
          <w:p>
            <w:pPr>
              <w:pStyle w:val="Compact"/>
            </w:pPr>
            <w:r>
              <w:t xml:space="preserve">May have been transiently exceeded in 2023–24</w:t>
            </w:r>
          </w:p>
        </w:tc>
      </w:tr>
      <w:tr>
        <w:tc>
          <w:tcPr/>
          <w:p>
            <w:pPr>
              <w:pStyle w:val="Compact"/>
            </w:pPr>
            <w:r>
              <w:t xml:space="preserve">2.0 degree C</w:t>
            </w:r>
          </w:p>
        </w:tc>
        <w:tc>
          <w:tcPr/>
          <w:p>
            <w:pPr>
              <w:pStyle w:val="Compact"/>
            </w:pPr>
            <w:r>
              <w:t xml:space="preserve">&gt;99% of reefs lost</w:t>
            </w:r>
          </w:p>
        </w:tc>
        <w:tc>
          <w:tcPr/>
          <w:p>
            <w:pPr>
              <w:pStyle w:val="Compact"/>
            </w:pPr>
            <w:r>
              <w:t xml:space="preserve">Paris Agreement upper limit</w:t>
            </w:r>
          </w:p>
        </w:tc>
      </w:tr>
      <w:tr>
        <w:tc>
          <w:tcPr/>
          <w:p>
            <w:pPr>
              <w:pStyle w:val="Compact"/>
            </w:pPr>
            <w:r>
              <w:t xml:space="preserve">3.0 degree C</w:t>
            </w:r>
          </w:p>
        </w:tc>
        <w:tc>
          <w:tcPr/>
          <w:p>
            <w:pPr>
              <w:pStyle w:val="Compact"/>
            </w:pPr>
            <w:r>
              <w:t xml:space="preserve">Functional elimination of coral reef ecosystems globally</w:t>
            </w:r>
          </w:p>
        </w:tc>
        <w:tc>
          <w:tcPr/>
          <w:p>
            <w:pPr>
              <w:pStyle w:val="Compact"/>
            </w:pPr>
            <w:r>
              <w:t xml:space="preserve">Current trajectory under stated policies</w:t>
            </w:r>
          </w:p>
        </w:tc>
      </w:tr>
    </w:tbl>
    <w:p>
      <w:pPr>
        <w:pStyle w:val="BodyText"/>
      </w:pPr>
      <w:r>
        <w:t xml:space="preserve">If coral reefs are lost, the geological record suggests 3–4 million years before new reef ecosystems could evolve.</w:t>
      </w:r>
    </w:p>
    <w:bookmarkEnd w:id="35"/>
    <w:bookmarkStart w:id="36" w:name="the-bozec-et-al.-2025-modelling-study"/>
    <w:p>
      <w:pPr>
        <w:pStyle w:val="Heading3"/>
      </w:pPr>
      <w:r>
        <w:t xml:space="preserve">The Bozec et al. (2025) Modelling Study</w:t>
      </w:r>
    </w:p>
    <w:p>
      <w:pPr>
        <w:pStyle w:val="FirstParagraph"/>
      </w:pPr>
      <w:r>
        <w:t xml:space="preserve">The most comprehensive GBR modelling study to date (ReefMod-GBR v7.0) simulated 3,806 individual reefs with tailored settings for water quality, larval connectivity, COTS outbreaks, cyclone risk, and bleaching probability:</w:t>
      </w:r>
    </w:p>
    <w:p>
      <w:pPr>
        <w:pStyle w:val="Compact"/>
        <w:numPr>
          <w:ilvl w:val="0"/>
          <w:numId w:val="1005"/>
        </w:numPr>
      </w:pPr>
      <w:r>
        <w:rPr>
          <w:b/>
          <w:bCs/>
        </w:rPr>
        <w:t xml:space="preserve">All emission scenarios produce rapid coral decline by mid-century</w:t>
      </w:r>
    </w:p>
    <w:p>
      <w:pPr>
        <w:pStyle w:val="Compact"/>
        <w:numPr>
          <w:ilvl w:val="0"/>
          <w:numId w:val="1005"/>
        </w:numPr>
      </w:pPr>
      <w:r>
        <w:rPr>
          <w:b/>
          <w:bCs/>
        </w:rPr>
        <w:t xml:space="preserve">Recovery is possible this century only if warming stays below 2 degree C</w:t>
      </w:r>
      <w:r>
        <w:t xml:space="preserve"> </w:t>
      </w:r>
      <w:r>
        <w:t xml:space="preserve">— thermal adaptation can keep pace, and partial recovery occurs in the second half of the century</w:t>
      </w:r>
    </w:p>
    <w:p>
      <w:pPr>
        <w:pStyle w:val="Compact"/>
        <w:numPr>
          <w:ilvl w:val="0"/>
          <w:numId w:val="1005"/>
        </w:numPr>
      </w:pPr>
      <w:r>
        <w:rPr>
          <w:b/>
          <w:bCs/>
        </w:rPr>
        <w:t xml:space="preserve">Under ~2.5–3 degree C</w:t>
      </w:r>
      <w:r>
        <w:t xml:space="preserve"> </w:t>
      </w:r>
      <w:r>
        <w:t xml:space="preserve">(the most likely trajectory), most reefs face near-collapse</w:t>
      </w:r>
    </w:p>
    <w:p>
      <w:pPr>
        <w:pStyle w:val="Compact"/>
        <w:numPr>
          <w:ilvl w:val="0"/>
          <w:numId w:val="1005"/>
        </w:numPr>
      </w:pPr>
      <w:r>
        <w:rPr>
          <w:b/>
          <w:bCs/>
        </w:rPr>
        <w:t xml:space="preserve">Climate refugia exist</w:t>
      </w:r>
      <w:r>
        <w:t xml:space="preserve"> </w:t>
      </w:r>
      <w:r>
        <w:t xml:space="preserve">— reefs with good ocean mixing fare better. Protecting these through local management is critical</w:t>
      </w:r>
    </w:p>
    <w:p>
      <w:pPr>
        <w:pStyle w:val="Compact"/>
        <w:numPr>
          <w:ilvl w:val="0"/>
          <w:numId w:val="1005"/>
        </w:numPr>
      </w:pPr>
      <w:r>
        <w:rPr>
          <w:b/>
          <w:bCs/>
        </w:rPr>
        <w:t xml:space="preserve">The window for meaningful action is closing rapidly but has not shut</w:t>
      </w:r>
    </w:p>
    <w:bookmarkEnd w:id="36"/>
    <w:bookmarkStart w:id="37" w:name="can-corals-adapt"/>
    <w:p>
      <w:pPr>
        <w:pStyle w:val="Heading3"/>
      </w:pPr>
      <w:r>
        <w:t xml:space="preserve">Can Corals Adapt?</w:t>
      </w:r>
    </w:p>
    <w:p>
      <w:pPr>
        <w:pStyle w:val="FirstParagraph"/>
      </w:pPr>
      <w:r>
        <w:t xml:space="preserve">An emergent increase in thermal tolerance of ~0.1 degree C per decade has been observed, and selective breeding experiments have increased heat survival by up to 84%. However:</w:t>
      </w:r>
    </w:p>
    <w:p>
      <w:pPr>
        <w:pStyle w:val="Compact"/>
        <w:numPr>
          <w:ilvl w:val="0"/>
          <w:numId w:val="1006"/>
        </w:numPr>
      </w:pPr>
      <w:r>
        <w:t xml:space="preserve">The rate of adaptation (~0.1 degree C/decade) is</w:t>
      </w:r>
      <w:r>
        <w:t xml:space="preserve"> </w:t>
      </w:r>
      <w:r>
        <w:rPr>
          <w:b/>
          <w:bCs/>
        </w:rPr>
        <w:t xml:space="preserve">slower than the rate of warming</w:t>
      </w:r>
      <w:r>
        <w:t xml:space="preserve"> </w:t>
      </w:r>
      <w:r>
        <w:t xml:space="preserve">under moderate-to-high emissions</w:t>
      </w:r>
    </w:p>
    <w:p>
      <w:pPr>
        <w:pStyle w:val="Compact"/>
        <w:numPr>
          <w:ilvl w:val="0"/>
          <w:numId w:val="1006"/>
        </w:numPr>
      </w:pPr>
      <w:r>
        <w:t xml:space="preserve">Under 5 degree C warming, there are</w:t>
      </w:r>
      <w:r>
        <w:t xml:space="preserve"> </w:t>
      </w:r>
      <w:r>
        <w:rPr>
          <w:b/>
          <w:bCs/>
        </w:rPr>
        <w:t xml:space="preserve">no plausible pathways to coral persistence</w:t>
      </w:r>
    </w:p>
    <w:p>
      <w:pPr>
        <w:pStyle w:val="Compact"/>
        <w:numPr>
          <w:ilvl w:val="0"/>
          <w:numId w:val="1006"/>
        </w:numPr>
      </w:pPr>
      <w:r>
        <w:t xml:space="preserve">Under 2 degree C, adaptation could maintain relatively healthy populations</w:t>
      </w:r>
    </w:p>
    <w:p>
      <w:pPr>
        <w:pStyle w:val="Compact"/>
        <w:numPr>
          <w:ilvl w:val="0"/>
          <w:numId w:val="1006"/>
        </w:numPr>
      </w:pPr>
      <w:r>
        <w:t xml:space="preserve">Under the most likely ~3 degree C trajectory, adaptation makes the difference between local extinction and reduced-but-persisting populations</w:t>
      </w:r>
    </w:p>
    <w:p>
      <w:pPr>
        <w:pStyle w:val="FirstParagraph"/>
      </w:pPr>
      <w:r>
        <w:t xml:space="preserve">Adaptation buys time — potentially decades — but only if emissions are reduced sufficiently to bring the rate of warming within the rate of adaptation.</w:t>
      </w:r>
    </w:p>
    <w:bookmarkEnd w:id="37"/>
    <w:bookmarkStart w:id="38" w:name="X2df846e77f5071ffecd71370d0f3b9e4806d912"/>
    <w:p>
      <w:pPr>
        <w:pStyle w:val="Heading3"/>
      </w:pPr>
      <w:r>
        <w:t xml:space="preserve">The Australian Academy of Science Position</w:t>
      </w:r>
    </w:p>
    <w:p>
      <w:pPr>
        <w:pStyle w:val="FirstParagraph"/>
      </w:pPr>
      <w:r>
        <w:t xml:space="preserve">Climate change impacts on the GBR could become</w:t>
      </w:r>
      <w:r>
        <w:t xml:space="preserve"> </w:t>
      </w:r>
      <w:r>
        <w:rPr>
          <w:b/>
          <w:bCs/>
        </w:rPr>
        <w:t xml:space="preserve">irreversible around mid-century</w:t>
      </w:r>
      <w:r>
        <w:t xml:space="preserve">, regardless of whether global emissions stabilise. Cross-disciplinary approaches and emerging technologies are needed alongside emissions reduction.</w:t>
      </w:r>
    </w:p>
    <w:p>
      <w:r>
        <w:pict>
          <v:rect style="width:0;height:1.5pt" o:hralign="center" o:hrstd="t" o:hr="t"/>
        </w:pict>
      </w:r>
    </w:p>
    <w:bookmarkEnd w:id="38"/>
    <w:bookmarkEnd w:id="39"/>
    <w:bookmarkStart w:id="42" w:name="economic-value"/>
    <w:p>
      <w:pPr>
        <w:pStyle w:val="Heading2"/>
      </w:pPr>
      <w:r>
        <w:t xml:space="preserve">5. Economic Value</w:t>
      </w:r>
    </w:p>
    <w:bookmarkStart w:id="40" w:name="asset-valuation"/>
    <w:p>
      <w:pPr>
        <w:pStyle w:val="Heading3"/>
      </w:pPr>
      <w:r>
        <w:t xml:space="preserve">Asset Valuation</w:t>
      </w:r>
    </w:p>
    <w:p>
      <w:pPr>
        <w:pStyle w:val="FirstParagraph"/>
      </w:pPr>
      <w:r>
        <w:t xml:space="preserve">Two Deloitte Access Economics reports (commissioned by the Great Barrier Reef Foundation) provide the most widely cited valuations: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2017 (</w:t>
            </w:r>
            <w:r>
              <w:t xml:space="preserve">“At What Price?”</w:t>
            </w:r>
            <w:r>
              <w:t xml:space="preserve">)</w:t>
            </w:r>
          </w:p>
        </w:tc>
        <w:tc>
          <w:tcPr/>
          <w:p>
            <w:pPr>
              <w:pStyle w:val="Compact"/>
            </w:pPr>
            <w:r>
              <w:t xml:space="preserve">2024 (</w:t>
            </w:r>
            <w:r>
              <w:t xml:space="preserve">“At What Cost?”</w:t>
            </w:r>
            <w:r>
              <w:t xml:space="preserve">)</w:t>
            </w:r>
          </w:p>
        </w:tc>
      </w:tr>
      <w:tr>
        <w:tc>
          <w:tcPr/>
          <w:p>
            <w:pPr>
              <w:pStyle w:val="Compact"/>
            </w:pPr>
            <w:r>
              <w:t xml:space="preserve">Total asset value</w:t>
            </w:r>
          </w:p>
        </w:tc>
        <w:tc>
          <w:tcPr/>
          <w:p>
            <w:pPr>
              <w:pStyle w:val="Compact"/>
            </w:pPr>
            <w:r>
              <w:t xml:space="preserve">A$56 billion</w:t>
            </w:r>
          </w:p>
        </w:tc>
        <w:tc>
          <w:tcPr/>
          <w:p>
            <w:pPr>
              <w:pStyle w:val="Compact"/>
            </w:pPr>
            <w:r>
              <w:t xml:space="preserve">A$95 billion</w:t>
            </w:r>
          </w:p>
        </w:tc>
      </w:tr>
      <w:tr>
        <w:tc>
          <w:tcPr/>
          <w:p>
            <w:pPr>
              <w:pStyle w:val="Compact"/>
            </w:pPr>
            <w:r>
              <w:t xml:space="preserve">Annual economic contribution</w:t>
            </w:r>
          </w:p>
        </w:tc>
        <w:tc>
          <w:tcPr/>
          <w:p>
            <w:pPr>
              <w:pStyle w:val="Compact"/>
            </w:pPr>
            <w:r>
              <w:t xml:space="preserve">A$6.4 billion</w:t>
            </w:r>
          </w:p>
        </w:tc>
        <w:tc>
          <w:tcPr/>
          <w:p>
            <w:pPr>
              <w:pStyle w:val="Compact"/>
            </w:pPr>
            <w:r>
              <w:t xml:space="preserve">A$9 billion</w:t>
            </w:r>
          </w:p>
        </w:tc>
      </w:tr>
      <w:tr>
        <w:tc>
          <w:tcPr/>
          <w:p>
            <w:pPr>
              <w:pStyle w:val="Compact"/>
            </w:pPr>
            <w:r>
              <w:t xml:space="preserve">Employment</w:t>
            </w:r>
          </w:p>
        </w:tc>
        <w:tc>
          <w:tcPr/>
          <w:p>
            <w:pPr>
              <w:pStyle w:val="Compact"/>
            </w:pPr>
            <w:r>
              <w:t xml:space="preserve">64,000 jobs</w:t>
            </w:r>
          </w:p>
        </w:tc>
        <w:tc>
          <w:tcPr/>
          <w:p>
            <w:pPr>
              <w:pStyle w:val="Compact"/>
            </w:pPr>
            <w:r>
              <w:t xml:space="preserve">77,000 FTE</w:t>
            </w:r>
          </w:p>
        </w:tc>
      </w:tr>
      <w:tr>
        <w:tc>
          <w:tcPr/>
          <w:p>
            <w:pPr>
              <w:pStyle w:val="Compact"/>
            </w:pPr>
            <w:r>
              <w:t xml:space="preserve">Tourism share</w:t>
            </w:r>
          </w:p>
        </w:tc>
        <w:tc>
          <w:tcPr/>
          <w:p>
            <w:pPr>
              <w:pStyle w:val="Compact"/>
            </w:pPr>
            <w:r>
              <w:t xml:space="preserve">$29B of asset value</w:t>
            </w:r>
          </w:p>
        </w:tc>
        <w:tc>
          <w:tcPr/>
          <w:p>
            <w:pPr>
              <w:pStyle w:val="Compact"/>
            </w:pPr>
            <w:r>
              <w:t xml:space="preserve">$7.9B/yr (88% of annual)</w:t>
            </w:r>
          </w:p>
        </w:tc>
      </w:tr>
    </w:tbl>
    <w:p>
      <w:pPr>
        <w:pStyle w:val="BodyText"/>
      </w:pPr>
      <w:r>
        <w:t xml:space="preserve">The 2024 report identifies a $124 billion economic opportunity over 50 years if climate action is matched with reef resilience investment.</w:t>
      </w:r>
    </w:p>
    <w:bookmarkEnd w:id="40"/>
    <w:bookmarkStart w:id="41" w:name="what-the-numbers-mean"/>
    <w:p>
      <w:pPr>
        <w:pStyle w:val="Heading3"/>
      </w:pPr>
      <w:r>
        <w:t xml:space="preserve">What the Numbers Mean</w:t>
      </w:r>
    </w:p>
    <w:p>
      <w:pPr>
        <w:pStyle w:val="FirstParagraph"/>
      </w:pPr>
      <w:r>
        <w:t xml:space="preserve">The annual $9 billion figure represents the total economic contribution: direct revenue from tourism, fishing, recreation and research; indirect supply-chain spending; and induced household spending. Tourism is the dominant component (~90%), but the figure also includes commercial fishing ($104–200M/yr), recreational fishing ($346M), and scientific research.</w:t>
      </w:r>
    </w:p>
    <w:p>
      <w:r>
        <w:pict>
          <v:rect style="width:0;height:1.5pt" o:hralign="center" o:hrstd="t" o:hr="t"/>
        </w:pict>
      </w:r>
    </w:p>
    <w:bookmarkEnd w:id="41"/>
    <w:bookmarkEnd w:id="42"/>
    <w:bookmarkStart w:id="48" w:name="tourism-trends-the-actual-data"/>
    <w:p>
      <w:pPr>
        <w:pStyle w:val="Heading2"/>
      </w:pPr>
      <w:r>
        <w:t xml:space="preserve">6. Tourism Trends: The Actual Data</w:t>
      </w:r>
    </w:p>
    <w:bookmarkStart w:id="43" w:name="visitor-numbers-emc-data"/>
    <w:p>
      <w:pPr>
        <w:pStyle w:val="Heading3"/>
      </w:pPr>
      <w:r>
        <w:t xml:space="preserve">Visitor Numbers (EMC Data)</w:t>
      </w:r>
    </w:p>
    <w:p>
      <w:pPr>
        <w:pStyle w:val="FirstParagraph"/>
      </w:pPr>
      <w:r>
        <w:t xml:space="preserve">The GBRMPA Environmental Management Charge (A$8 per commercial tourist) provides the most reliable proxy for actual reef visitor numbers:</w:t>
      </w:r>
    </w:p>
    <w:tbl>
      <w:tblPr>
        <w:tblStyle w:val="Table"/>
        <w:tblW w:type="pct" w:w="5000"/>
        <w:tblLayout w:type="fixed"/>
        <w:tblLook w:firstRow="1" w:lastRow="0" w:firstColumn="0" w:lastColumn="0" w:noHBand="0" w:noVBand="0" w:val="0020"/>
      </w:tblPr>
      <w:tblGrid>
        <w:gridCol w:w="1760"/>
        <w:gridCol w:w="4180"/>
        <w:gridCol w:w="1980"/>
      </w:tblGrid>
      <w:tr>
        <w:trPr>
          <w:tblHeader w:val="on"/>
        </w:trPr>
        <w:tc>
          <w:tcPr/>
          <w:p>
            <w:pPr>
              <w:pStyle w:val="Compact"/>
            </w:pPr>
            <w:r>
              <w:t xml:space="preserve">Period</w:t>
            </w:r>
          </w:p>
        </w:tc>
        <w:tc>
          <w:tcPr/>
          <w:p>
            <w:pPr>
              <w:pStyle w:val="Compact"/>
            </w:pPr>
            <w:r>
              <w:t xml:space="preserve">Visitors (approx.)</w:t>
            </w:r>
          </w:p>
        </w:tc>
        <w:tc>
          <w:tcPr/>
          <w:p>
            <w:pPr>
              <w:pStyle w:val="Compact"/>
            </w:pPr>
            <w:r>
              <w:t xml:space="preserve">Context</w:t>
            </w:r>
          </w:p>
        </w:tc>
      </w:tr>
      <w:tr>
        <w:tc>
          <w:tcPr/>
          <w:p>
            <w:pPr>
              <w:pStyle w:val="Compact"/>
            </w:pPr>
            <w:r>
              <w:t xml:space="preserve">1986–87</w:t>
            </w:r>
          </w:p>
        </w:tc>
        <w:tc>
          <w:tcPr/>
          <w:p>
            <w:pPr>
              <w:pStyle w:val="Compact"/>
            </w:pPr>
            <w:r>
              <w:t xml:space="preserve">400,000</w:t>
            </w:r>
          </w:p>
        </w:tc>
        <w:tc>
          <w:tcPr/>
          <w:p>
            <w:pPr>
              <w:pStyle w:val="Compact"/>
            </w:pPr>
            <w:r>
              <w:t xml:space="preserve">Early tourism era</w:t>
            </w:r>
          </w:p>
        </w:tc>
      </w:tr>
      <w:tr>
        <w:tc>
          <w:tcPr/>
          <w:p>
            <w:pPr>
              <w:pStyle w:val="Compact"/>
            </w:pPr>
            <w:r>
              <w:t xml:space="preserve">1996</w:t>
            </w:r>
          </w:p>
        </w:tc>
        <w:tc>
          <w:tcPr/>
          <w:p>
            <w:pPr>
              <w:pStyle w:val="Compact"/>
            </w:pPr>
            <w:r>
              <w:t xml:space="preserve">1,300,000</w:t>
            </w:r>
          </w:p>
        </w:tc>
        <w:tc>
          <w:tcPr/>
          <w:p>
            <w:pPr>
              <w:pStyle w:val="Compact"/>
            </w:pPr>
            <w:r>
              <w:t xml:space="preserve">Rapid growth through 1990s</w:t>
            </w:r>
          </w:p>
        </w:tc>
      </w:tr>
      <w:tr>
        <w:tc>
          <w:tcPr/>
          <w:p>
            <w:pPr>
              <w:pStyle w:val="Compact"/>
            </w:pPr>
            <w:r>
              <w:t xml:space="preserve">2005</w:t>
            </w:r>
          </w:p>
        </w:tc>
        <w:tc>
          <w:tcPr/>
          <w:p>
            <w:pPr>
              <w:pStyle w:val="Compact"/>
            </w:pPr>
            <w:r>
              <w:t xml:space="preserve">~3,800,000</w:t>
            </w:r>
          </w:p>
        </w:tc>
        <w:tc>
          <w:tcPr/>
          <w:p>
            <w:pPr>
              <w:pStyle w:val="Compact"/>
            </w:pPr>
            <w:r>
              <w:t xml:space="preserve">All-time peak (may include different counting methodology)</w:t>
            </w:r>
          </w:p>
        </w:tc>
      </w:tr>
      <w:tr>
        <w:tc>
          <w:tcPr/>
          <w:p>
            <w:pPr>
              <w:pStyle w:val="Compact"/>
            </w:pPr>
            <w:r>
              <w:t xml:space="preserve">2017</w:t>
            </w:r>
          </w:p>
        </w:tc>
        <w:tc>
          <w:tcPr/>
          <w:p>
            <w:pPr>
              <w:pStyle w:val="Compact"/>
            </w:pPr>
            <w:r>
              <w:t xml:space="preserve">~2,620,000</w:t>
            </w:r>
          </w:p>
        </w:tc>
        <w:tc>
          <w:tcPr/>
          <w:p>
            <w:pPr>
              <w:pStyle w:val="Compact"/>
            </w:pPr>
            <w:r>
              <w:t xml:space="preserve">Recent peak (7,178 daily visitors)</w:t>
            </w:r>
          </w:p>
        </w:tc>
      </w:tr>
      <w:tr>
        <w:tc>
          <w:tcPr/>
          <w:p>
            <w:pPr>
              <w:pStyle w:val="Compact"/>
            </w:pPr>
            <w:r>
              <w:t xml:space="preserve">2019</w:t>
            </w:r>
          </w:p>
        </w:tc>
        <w:tc>
          <w:tcPr/>
          <w:p>
            <w:pPr>
              <w:pStyle w:val="Compact"/>
            </w:pPr>
            <w:r>
              <w:t xml:space="preserve">~2,400,000</w:t>
            </w:r>
          </w:p>
        </w:tc>
        <w:tc>
          <w:tcPr/>
          <w:p>
            <w:pPr>
              <w:pStyle w:val="Compact"/>
            </w:pPr>
            <w:r>
              <w:t xml:space="preserve">Pre-pandemic benchmark</w:t>
            </w:r>
          </w:p>
        </w:tc>
      </w:tr>
      <w:tr>
        <w:tc>
          <w:tcPr/>
          <w:p>
            <w:pPr>
              <w:pStyle w:val="Compact"/>
            </w:pPr>
            <w:r>
              <w:t xml:space="preserve">2020</w:t>
            </w:r>
          </w:p>
        </w:tc>
        <w:tc>
          <w:tcPr/>
          <w:p>
            <w:pPr>
              <w:pStyle w:val="Compact"/>
            </w:pPr>
            <w:r>
              <w:t xml:space="preserve">~960,000</w:t>
            </w:r>
          </w:p>
        </w:tc>
        <w:tc>
          <w:tcPr/>
          <w:p>
            <w:pPr>
              <w:pStyle w:val="Compact"/>
            </w:pPr>
            <w:r>
              <w:t xml:space="preserve">COVID-19 (60% decline)</w:t>
            </w:r>
          </w:p>
        </w:tc>
      </w:tr>
      <w:tr>
        <w:tc>
          <w:tcPr/>
          <w:p>
            <w:pPr>
              <w:pStyle w:val="Compact"/>
            </w:pPr>
            <w:r>
              <w:t xml:space="preserve">2022</w:t>
            </w:r>
          </w:p>
        </w:tc>
        <w:tc>
          <w:tcPr/>
          <w:p>
            <w:pPr>
              <w:pStyle w:val="Compact"/>
            </w:pPr>
            <w:r>
              <w:t xml:space="preserve">~2,030,000</w:t>
            </w:r>
          </w:p>
        </w:tc>
        <w:tc>
          <w:tcPr/>
          <w:p>
            <w:pPr>
              <w:pStyle w:val="Compact"/>
            </w:pPr>
            <w:r>
              <w:t xml:space="preserve">International borders reopened Feb 2022</w:t>
            </w:r>
          </w:p>
        </w:tc>
      </w:tr>
      <w:tr>
        <w:tc>
          <w:tcPr/>
          <w:p>
            <w:pPr>
              <w:pStyle w:val="Compact"/>
            </w:pPr>
            <w:r>
              <w:t xml:space="preserve">2024</w:t>
            </w:r>
          </w:p>
        </w:tc>
        <w:tc>
          <w:tcPr/>
          <w:p>
            <w:pPr>
              <w:pStyle w:val="Compact"/>
            </w:pPr>
            <w:r>
              <w:t xml:space="preserve">~2,340,000</w:t>
            </w:r>
          </w:p>
        </w:tc>
        <w:tc>
          <w:tcPr/>
          <w:p>
            <w:pPr>
              <w:pStyle w:val="Compact"/>
            </w:pPr>
            <w:r>
              <w:t xml:space="preserve">~98% of 2019 levels; 6,410 daily visitors</w:t>
            </w:r>
          </w:p>
        </w:tc>
      </w:tr>
    </w:tbl>
    <w:p>
      <w:pPr>
        <w:pStyle w:val="BodyText"/>
      </w:pPr>
      <w:r>
        <w:t xml:space="preserve">The consistent EMC-based series from ~2010 onwards shows the 2.4–2.6M range as the typical pre-pandemic level.</w:t>
      </w:r>
    </w:p>
    <w:bookmarkEnd w:id="43"/>
    <w:bookmarkStart w:id="44" w:name="has-bleaching-affected-tourism"/>
    <w:p>
      <w:pPr>
        <w:pStyle w:val="Heading3"/>
      </w:pPr>
      <w:r>
        <w:t xml:space="preserve">Has Bleaching Affected Tourism?</w:t>
      </w:r>
    </w:p>
    <w:p>
      <w:pPr>
        <w:pStyle w:val="FirstParagraph"/>
      </w:pPr>
      <w:r>
        <w:t xml:space="preserve">The evidence is nuanced:</w:t>
      </w:r>
    </w:p>
    <w:p>
      <w:pPr>
        <w:pStyle w:val="Compact"/>
        <w:numPr>
          <w:ilvl w:val="0"/>
          <w:numId w:val="1007"/>
        </w:numPr>
      </w:pPr>
      <w:r>
        <w:rPr>
          <w:b/>
          <w:bCs/>
        </w:rPr>
        <w:t xml:space="preserve">Post-2016 plateau</w:t>
      </w:r>
      <w:r>
        <w:t xml:space="preserve">: visitor numbers levelled off after the severe 2016 bleaching, with the 2017 peak of ~2.62M followed by declines to ~2.4M by 2019</w:t>
      </w:r>
    </w:p>
    <w:p>
      <w:pPr>
        <w:pStyle w:val="Compact"/>
        <w:numPr>
          <w:ilvl w:val="0"/>
          <w:numId w:val="1007"/>
        </w:numPr>
      </w:pPr>
      <w:r>
        <w:rPr>
          <w:b/>
          <w:bCs/>
        </w:rPr>
        <w:t xml:space="preserve">Quantified impact</w:t>
      </w:r>
      <w:r>
        <w:t xml:space="preserve">: following major bleaching events, tourist numbers decreased by 10–20%, with economic losses exceeding A$1 billion</w:t>
      </w:r>
    </w:p>
    <w:p>
      <w:pPr>
        <w:pStyle w:val="Compact"/>
        <w:numPr>
          <w:ilvl w:val="0"/>
          <w:numId w:val="1007"/>
        </w:numPr>
      </w:pPr>
      <w:r>
        <w:rPr>
          <w:b/>
          <w:bCs/>
        </w:rPr>
        <w:t xml:space="preserve">Satisfaction decline</w:t>
      </w:r>
      <w:r>
        <w:t xml:space="preserve">: a study of 4,681 tourists comparing 2013 and 2017 found significantly lower satisfaction scores, declining perceptions of reef condition, and reduced optimism about the reef’s future</w:t>
      </w:r>
    </w:p>
    <w:p>
      <w:pPr>
        <w:pStyle w:val="Compact"/>
        <w:numPr>
          <w:ilvl w:val="0"/>
          <w:numId w:val="1007"/>
        </w:numPr>
      </w:pPr>
      <w:r>
        <w:rPr>
          <w:b/>
          <w:bCs/>
        </w:rPr>
        <w:t xml:space="preserve">However</w:t>
      </w:r>
      <w:r>
        <w:t xml:space="preserve">: COVID dominates 2020–2022 data, making it impossible to isolate bleaching effects. The 2024 recovery to 98% of 2019 levels suggests bleaching has not yet caused a permanent tourism downturn</w:t>
      </w:r>
    </w:p>
    <w:bookmarkEnd w:id="44"/>
    <w:bookmarkStart w:id="45" w:name="the-last-chance-tourism-effect"/>
    <w:p>
      <w:pPr>
        <w:pStyle w:val="Heading3"/>
      </w:pPr>
      <w:r>
        <w:t xml:space="preserve">The</w:t>
      </w:r>
      <w:r>
        <w:t xml:space="preserve"> </w:t>
      </w:r>
      <w:r>
        <w:t xml:space="preserve">“Last Chance Tourism”</w:t>
      </w:r>
      <w:r>
        <w:t xml:space="preserve"> </w:t>
      </w:r>
      <w:r>
        <w:t xml:space="preserve">Effect</w:t>
      </w:r>
    </w:p>
    <w:p>
      <w:pPr>
        <w:pStyle w:val="FirstParagraph"/>
      </w:pPr>
      <w:r>
        <w:t xml:space="preserve">69% of tourists surveyed were motivated to see the reef</w:t>
      </w:r>
      <w:r>
        <w:t xml:space="preserve"> </w:t>
      </w:r>
      <w:r>
        <w:t xml:space="preserve">“before it’s gone.”</w:t>
      </w:r>
      <w:r>
        <w:t xml:space="preserve"> </w:t>
      </w:r>
      <w:r>
        <w:t xml:space="preserve">This creates a paradox:</w:t>
      </w:r>
    </w:p>
    <w:p>
      <w:pPr>
        <w:pStyle w:val="Compact"/>
        <w:numPr>
          <w:ilvl w:val="0"/>
          <w:numId w:val="1008"/>
        </w:numPr>
      </w:pPr>
      <w:r>
        <w:t xml:space="preserve">Decline may</w:t>
      </w:r>
      <w:r>
        <w:t xml:space="preserve"> </w:t>
      </w:r>
      <w:r>
        <w:rPr>
          <w:b/>
          <w:bCs/>
        </w:rPr>
        <w:t xml:space="preserve">boost short-term visitation</w:t>
      </w:r>
      <w:r>
        <w:t xml:space="preserve"> </w:t>
      </w:r>
      <w:r>
        <w:t xml:space="preserve">(urgency to visit)</w:t>
      </w:r>
    </w:p>
    <w:p>
      <w:pPr>
        <w:pStyle w:val="Compact"/>
        <w:numPr>
          <w:ilvl w:val="0"/>
          <w:numId w:val="1008"/>
        </w:numPr>
      </w:pPr>
      <w:r>
        <w:t xml:space="preserve">But carries long-term risks if reef quality degrades to the point where the experience is no longer satisfying</w:t>
      </w:r>
    </w:p>
    <w:p>
      <w:pPr>
        <w:pStyle w:val="Compact"/>
        <w:numPr>
          <w:ilvl w:val="0"/>
          <w:numId w:val="1008"/>
        </w:numPr>
      </w:pPr>
      <w:r>
        <w:t xml:space="preserve">Research suggests an average visitor would undertake</w:t>
      </w:r>
      <w:r>
        <w:t xml:space="preserve"> </w:t>
      </w:r>
      <w:r>
        <w:rPr>
          <w:b/>
          <w:bCs/>
        </w:rPr>
        <w:t xml:space="preserve">60% fewer trips</w:t>
      </w:r>
      <w:r>
        <w:t xml:space="preserve"> </w:t>
      </w:r>
      <w:r>
        <w:t xml:space="preserve">given an 80% decrease in coral cover, 30% decrease in coral diversity, and 70% decrease in fish diversity</w:t>
      </w:r>
    </w:p>
    <w:p>
      <w:pPr>
        <w:pStyle w:val="FirstParagraph"/>
      </w:pPr>
      <w:r>
        <w:t xml:space="preserve">Current visitor numbers may be artificially supported by last-chance urgency that will eventually dissipate.</w:t>
      </w:r>
    </w:p>
    <w:bookmarkEnd w:id="45"/>
    <w:bookmarkStart w:id="46" w:name="domestic-vs-international-mix"/>
    <w:p>
      <w:pPr>
        <w:pStyle w:val="Heading3"/>
      </w:pPr>
      <w:r>
        <w:t xml:space="preserve">Domestic vs International Mix</w:t>
      </w:r>
    </w:p>
    <w:p>
      <w:pPr>
        <w:pStyle w:val="FirstParagraph"/>
      </w:pPr>
      <w:r>
        <w:t xml:space="preserve">Post-COVID, the mix has shifted significantly toward domestic tourism:</w:t>
      </w:r>
    </w:p>
    <w:p>
      <w:pPr>
        <w:pStyle w:val="Compact"/>
        <w:numPr>
          <w:ilvl w:val="0"/>
          <w:numId w:val="1009"/>
        </w:numPr>
      </w:pPr>
      <w:r>
        <w:t xml:space="preserve">Domestic: ~75% of visitors (1.76M), ~70% of spending (A$4.48B)</w:t>
      </w:r>
    </w:p>
    <w:p>
      <w:pPr>
        <w:pStyle w:val="Compact"/>
        <w:numPr>
          <w:ilvl w:val="0"/>
          <w:numId w:val="1009"/>
        </w:numPr>
      </w:pPr>
      <w:r>
        <w:t xml:space="preserve">International: ~25% of visitors (0.58M), ~30% of spending (A$1.92B)</w:t>
      </w:r>
    </w:p>
    <w:p>
      <w:pPr>
        <w:pStyle w:val="FirstParagraph"/>
      </w:pPr>
      <w:r>
        <w:t xml:space="preserve">The slow return of Asian markets (particularly Chinese tourists) has kept the international share depressed. International visitors spend more per trip (A$3,312 vs A$2,545 domestic) due to longer stays (10.9 vs 5.1 nights).</w:t>
      </w:r>
    </w:p>
    <w:bookmarkEnd w:id="46"/>
    <w:bookmarkStart w:id="47" w:name="regional-picture"/>
    <w:p>
      <w:pPr>
        <w:pStyle w:val="Heading3"/>
      </w:pPr>
      <w:r>
        <w:t xml:space="preserve">Regional Picture</w:t>
      </w:r>
    </w:p>
    <w:p>
      <w:pPr>
        <w:pStyle w:val="FirstParagraph"/>
      </w:pPr>
      <w:r>
        <w:t xml:space="preserve">Tourism is heavily concentrated —</w:t>
      </w:r>
      <w:r>
        <w:t xml:space="preserve"> </w:t>
      </w:r>
      <w:r>
        <w:rPr>
          <w:b/>
          <w:bCs/>
        </w:rPr>
        <w:t xml:space="preserve">86% of visits occur in waters adjacent to Cairns, Port Douglas, and the Whitsundays</w:t>
      </w:r>
      <w:r>
        <w:t xml:space="preserve">, covering just 7% of the Marine Park.</w:t>
      </w:r>
    </w:p>
    <w:tbl>
      <w:tblPr>
        <w:tblStyle w:val="Table"/>
        <w:tblW w:type="pct" w:w="5000"/>
        <w:tblLayout w:type="fixed"/>
        <w:tblLook w:firstRow="1" w:lastRow="0" w:firstColumn="0" w:lastColumn="0" w:noHBand="0" w:noVBand="0" w:val="0020"/>
      </w:tblPr>
      <w:tblGrid>
        <w:gridCol w:w="1863"/>
        <w:gridCol w:w="2562"/>
        <w:gridCol w:w="3494"/>
      </w:tblGrid>
      <w:tr>
        <w:trPr>
          <w:tblHeader w:val="on"/>
        </w:trPr>
        <w:tc>
          <w:tcPr/>
          <w:p>
            <w:pPr>
              <w:pStyle w:val="Compact"/>
            </w:pPr>
            <w:r>
              <w:t xml:space="preserve">Region</w:t>
            </w:r>
          </w:p>
        </w:tc>
        <w:tc>
          <w:tcPr/>
          <w:p>
            <w:pPr>
              <w:pStyle w:val="Compact"/>
            </w:pPr>
            <w:r>
              <w:t xml:space="preserve">Key Metric</w:t>
            </w:r>
          </w:p>
        </w:tc>
        <w:tc>
          <w:tcPr/>
          <w:p>
            <w:pPr>
              <w:pStyle w:val="Compact"/>
            </w:pPr>
            <w:r>
              <w:t xml:space="preserve">Vulnerability</w:t>
            </w:r>
          </w:p>
        </w:tc>
      </w:tr>
      <w:tr>
        <w:tc>
          <w:tcPr/>
          <w:p>
            <w:pPr>
              <w:pStyle w:val="Compact"/>
            </w:pPr>
            <w:r>
              <w:t xml:space="preserve">Cairns/Port Douglas</w:t>
            </w:r>
          </w:p>
        </w:tc>
        <w:tc>
          <w:tcPr/>
          <w:p>
            <w:pPr>
              <w:pStyle w:val="Compact"/>
            </w:pPr>
            <w:r>
              <w:t xml:space="preserve">A$4.7B overnight spend; 1 in 5 jobs in tourism</w:t>
            </w:r>
          </w:p>
        </w:tc>
        <w:tc>
          <w:tcPr/>
          <w:p>
            <w:pPr>
              <w:pStyle w:val="Compact"/>
            </w:pPr>
            <w:r>
              <w:t xml:space="preserve">Very high — reef is core draw</w:t>
            </w:r>
          </w:p>
        </w:tc>
      </w:tr>
      <w:tr>
        <w:tc>
          <w:tcPr/>
          <w:p>
            <w:pPr>
              <w:pStyle w:val="Compact"/>
            </w:pPr>
            <w:r>
              <w:t xml:space="preserve">Whitsundays</w:t>
            </w:r>
          </w:p>
        </w:tc>
        <w:tc>
          <w:tcPr/>
          <w:p>
            <w:pPr>
              <w:pStyle w:val="Compact"/>
            </w:pPr>
            <w:r>
              <w:t xml:space="preserve">Record A$1.5B domestic spend (2024)</w:t>
            </w:r>
          </w:p>
        </w:tc>
        <w:tc>
          <w:tcPr/>
          <w:p>
            <w:pPr>
              <w:pStyle w:val="Compact"/>
            </w:pPr>
            <w:r>
              <w:t xml:space="preserve">Very high — reef + islands are the product</w:t>
            </w:r>
          </w:p>
        </w:tc>
      </w:tr>
      <w:tr>
        <w:tc>
          <w:tcPr/>
          <w:p>
            <w:pPr>
              <w:pStyle w:val="Compact"/>
            </w:pPr>
            <w:r>
              <w:t xml:space="preserve">Townsville</w:t>
            </w:r>
          </w:p>
        </w:tc>
        <w:tc>
          <w:tcPr/>
          <w:p>
            <w:pPr>
              <w:pStyle w:val="Compact"/>
            </w:pPr>
            <w:r>
              <w:t xml:space="preserve">A$2.8B tourism sales; +11.7% growth (2024)</w:t>
            </w:r>
          </w:p>
        </w:tc>
        <w:tc>
          <w:tcPr/>
          <w:p>
            <w:pPr>
              <w:pStyle w:val="Compact"/>
            </w:pPr>
            <w:r>
              <w:t xml:space="preserve">Moderate — growing but diversified</w:t>
            </w:r>
          </w:p>
        </w:tc>
      </w:tr>
      <w:tr>
        <w:tc>
          <w:tcPr/>
          <w:p>
            <w:pPr>
              <w:pStyle w:val="Compact"/>
            </w:pPr>
            <w:r>
              <w:t xml:space="preserve">Southern GBR</w:t>
            </w:r>
          </w:p>
        </w:tc>
        <w:tc>
          <w:tcPr/>
          <w:p>
            <w:pPr>
              <w:pStyle w:val="Compact"/>
            </w:pPr>
            <w:r>
              <w:t xml:space="preserve">88,000 international visitors; fastest growth</w:t>
            </w:r>
          </w:p>
        </w:tc>
        <w:tc>
          <w:tcPr/>
          <w:p>
            <w:pPr>
              <w:pStyle w:val="Compact"/>
            </w:pPr>
            <w:r>
              <w:t xml:space="preserve">Lower — broader tourism base</w:t>
            </w:r>
          </w:p>
        </w:tc>
      </w:tr>
    </w:tbl>
    <w:p>
      <w:pPr>
        <w:pStyle w:val="BodyText"/>
      </w:pPr>
      <w:r>
        <w:t xml:space="preserve">The Southern GBR is the growth story — record international visitor numbers and strong domestic growth. However, this is the same region that experienced its largest-ever coral cover decline (30.6%) in 2024/25.</w:t>
      </w:r>
    </w:p>
    <w:p>
      <w:r>
        <w:pict>
          <v:rect style="width:0;height:1.5pt" o:hralign="center" o:hrstd="t" o:hr="t"/>
        </w:pict>
      </w:r>
    </w:p>
    <w:bookmarkEnd w:id="47"/>
    <w:bookmarkEnd w:id="48"/>
    <w:bookmarkStart w:id="52" w:name="economic-risk"/>
    <w:p>
      <w:pPr>
        <w:pStyle w:val="Heading2"/>
      </w:pPr>
      <w:r>
        <w:t xml:space="preserve">7. Economic Risk</w:t>
      </w:r>
    </w:p>
    <w:bookmarkStart w:id="49" w:name="what-degradation-would-cost"/>
    <w:p>
      <w:pPr>
        <w:pStyle w:val="Heading3"/>
      </w:pPr>
      <w:r>
        <w:t xml:space="preserve">What Degradation Would Cost</w:t>
      </w:r>
    </w:p>
    <w:p>
      <w:pPr>
        <w:pStyle w:val="Compact"/>
        <w:numPr>
          <w:ilvl w:val="0"/>
          <w:numId w:val="1010"/>
        </w:numPr>
      </w:pPr>
      <w:r>
        <w:rPr>
          <w:b/>
          <w:bCs/>
        </w:rPr>
        <w:t xml:space="preserve">60% fewer trips</w:t>
      </w:r>
      <w:r>
        <w:t xml:space="preserve"> </w:t>
      </w:r>
      <w:r>
        <w:t xml:space="preserve">under severe degradation scenario (80% coral loss, 30% diversity loss, 70% fish loss)</w:t>
      </w:r>
    </w:p>
    <w:p>
      <w:pPr>
        <w:pStyle w:val="Compact"/>
        <w:numPr>
          <w:ilvl w:val="0"/>
          <w:numId w:val="1010"/>
        </w:numPr>
      </w:pPr>
      <w:r>
        <w:rPr>
          <w:b/>
          <w:bCs/>
        </w:rPr>
        <w:t xml:space="preserve">10–20% tourism decline</w:t>
      </w:r>
      <w:r>
        <w:t xml:space="preserve"> </w:t>
      </w:r>
      <w:r>
        <w:t xml:space="preserve">following major bleaching events, with losses exceeding A$1 billion</w:t>
      </w:r>
    </w:p>
    <w:p>
      <w:pPr>
        <w:pStyle w:val="Compact"/>
        <w:numPr>
          <w:ilvl w:val="0"/>
          <w:numId w:val="1010"/>
        </w:numPr>
      </w:pPr>
      <w:r>
        <w:rPr>
          <w:b/>
          <w:bCs/>
        </w:rPr>
        <w:t xml:space="preserve">Insurance premiums up 30–45%</w:t>
      </w:r>
      <w:r>
        <w:t xml:space="preserve"> </w:t>
      </w:r>
      <w:r>
        <w:t xml:space="preserve">in reef-adjacent high-risk regions</w:t>
      </w:r>
    </w:p>
    <w:p>
      <w:pPr>
        <w:pStyle w:val="Compact"/>
        <w:numPr>
          <w:ilvl w:val="0"/>
          <w:numId w:val="1010"/>
        </w:numPr>
      </w:pPr>
      <w:r>
        <w:rPr>
          <w:b/>
          <w:bCs/>
        </w:rPr>
        <w:t xml:space="preserve">Property devaluation of 15–25%</w:t>
      </w:r>
      <w:r>
        <w:t xml:space="preserve"> </w:t>
      </w:r>
      <w:r>
        <w:t xml:space="preserve">in areas with severely degraded reef protection</w:t>
      </w:r>
    </w:p>
    <w:bookmarkEnd w:id="49"/>
    <w:bookmarkStart w:id="50" w:name="employment-vulnerability"/>
    <w:p>
      <w:pPr>
        <w:pStyle w:val="Heading3"/>
      </w:pPr>
      <w:r>
        <w:t xml:space="preserve">Employment Vulnerability</w:t>
      </w:r>
    </w:p>
    <w:p>
      <w:pPr>
        <w:pStyle w:val="FirstParagraph"/>
      </w:pPr>
      <w:r>
        <w:t xml:space="preserve">The 77,000 FTE jobs supported by the GBR include:</w:t>
      </w:r>
    </w:p>
    <w:p>
      <w:pPr>
        <w:pStyle w:val="Compact"/>
        <w:numPr>
          <w:ilvl w:val="0"/>
          <w:numId w:val="1011"/>
        </w:numPr>
      </w:pPr>
      <w:r>
        <w:t xml:space="preserve">Tour boat operators and crew — directly dependent on reef quality</w:t>
      </w:r>
    </w:p>
    <w:p>
      <w:pPr>
        <w:pStyle w:val="Compact"/>
        <w:numPr>
          <w:ilvl w:val="0"/>
          <w:numId w:val="1011"/>
        </w:numPr>
      </w:pPr>
      <w:r>
        <w:t xml:space="preserve">Dive instructors and marine guides — require healthy reef</w:t>
      </w:r>
    </w:p>
    <w:p>
      <w:pPr>
        <w:pStyle w:val="Compact"/>
        <w:numPr>
          <w:ilvl w:val="0"/>
          <w:numId w:val="1011"/>
        </w:numPr>
      </w:pPr>
      <w:r>
        <w:t xml:space="preserve">Pontoon and island resort staff — infrastructure tied to specific reef locations</w:t>
      </w:r>
    </w:p>
    <w:p>
      <w:pPr>
        <w:pStyle w:val="Compact"/>
        <w:numPr>
          <w:ilvl w:val="0"/>
          <w:numId w:val="1011"/>
        </w:numPr>
      </w:pPr>
      <w:r>
        <w:t xml:space="preserve">Hospitality in reef-dependent towns — indirect but significant</w:t>
      </w:r>
    </w:p>
    <w:bookmarkEnd w:id="50"/>
    <w:bookmarkStart w:id="51" w:name="the-central-economic-question"/>
    <w:p>
      <w:pPr>
        <w:pStyle w:val="Heading3"/>
      </w:pPr>
      <w:r>
        <w:t xml:space="preserve">The Central Economic Question</w:t>
      </w:r>
    </w:p>
    <w:p>
      <w:pPr>
        <w:pStyle w:val="FirstParagraph"/>
      </w:pPr>
      <w:r>
        <w:t xml:space="preserve">The tourism data reveals a tension between short-term resilience and long-term vulnerability:</w:t>
      </w:r>
    </w:p>
    <w:p>
      <w:pPr>
        <w:pStyle w:val="Compact"/>
        <w:numPr>
          <w:ilvl w:val="0"/>
          <w:numId w:val="1012"/>
        </w:numPr>
      </w:pPr>
      <w:r>
        <w:rPr>
          <w:b/>
          <w:bCs/>
        </w:rPr>
        <w:t xml:space="preserve">Short-term</w:t>
      </w:r>
      <w:r>
        <w:t xml:space="preserve">: visitor numbers have recovered to near pre-pandemic levels, last-chance tourism provides a demand floor, and regional economies continue to grow</w:t>
      </w:r>
    </w:p>
    <w:p>
      <w:pPr>
        <w:pStyle w:val="Compact"/>
        <w:numPr>
          <w:ilvl w:val="0"/>
          <w:numId w:val="1012"/>
        </w:numPr>
      </w:pPr>
      <w:r>
        <w:rPr>
          <w:b/>
          <w:bCs/>
        </w:rPr>
        <w:t xml:space="preserve">Long-term</w:t>
      </w:r>
      <w:r>
        <w:t xml:space="preserve">: bleaching frequency is accelerating (six events in nine years), coral cover is declining with record losses, visitor satisfaction is falling, and the scientific outlook projects further deterioration</w:t>
      </w:r>
    </w:p>
    <w:p>
      <w:pPr>
        <w:pStyle w:val="FirstParagraph"/>
      </w:pPr>
      <w:r>
        <w:t xml:space="preserve">The gap between the scientific trajectory (accelerating decline) and the tourism trajectory (near-full recovery) cannot persist indefinitely. At some point, reef degradation will cross a threshold where the tourism experience deteriorates sufficiently to cause permanent visitor decline. The Bozec et al. modelling suggests this could occur by mid-century under the most likely emissions pathway.</w:t>
      </w:r>
    </w:p>
    <w:p>
      <w:r>
        <w:pict>
          <v:rect style="width:0;height:1.5pt" o:hralign="center" o:hrstd="t" o:hr="t"/>
        </w:pict>
      </w:r>
    </w:p>
    <w:bookmarkEnd w:id="51"/>
    <w:bookmarkEnd w:id="52"/>
    <w:bookmarkStart w:id="55" w:name="what-is-established-vs-what-is-uncertain"/>
    <w:p>
      <w:pPr>
        <w:pStyle w:val="Heading2"/>
      </w:pPr>
      <w:r>
        <w:t xml:space="preserve">8. What Is Established vs What Is Uncertain</w:t>
      </w:r>
    </w:p>
    <w:bookmarkStart w:id="53" w:name="well-established"/>
    <w:p>
      <w:pPr>
        <w:pStyle w:val="Heading3"/>
      </w:pPr>
      <w:r>
        <w:t xml:space="preserve">Well Established</w:t>
      </w:r>
    </w:p>
    <w:p>
      <w:pPr>
        <w:pStyle w:val="Compact"/>
        <w:numPr>
          <w:ilvl w:val="0"/>
          <w:numId w:val="1013"/>
        </w:numPr>
      </w:pPr>
      <w:r>
        <w:t xml:space="preserve">Eight mass bleaching events in 27 years, with five in the last decade</w:t>
      </w:r>
    </w:p>
    <w:p>
      <w:pPr>
        <w:pStyle w:val="Compact"/>
        <w:numPr>
          <w:ilvl w:val="0"/>
          <w:numId w:val="1013"/>
        </w:numPr>
      </w:pPr>
      <w:r>
        <w:t xml:space="preserve">Current Coral Sea temperatures are the highest in at least 400 years</w:t>
      </w:r>
    </w:p>
    <w:p>
      <w:pPr>
        <w:pStyle w:val="Compact"/>
        <w:numPr>
          <w:ilvl w:val="0"/>
          <w:numId w:val="1013"/>
        </w:numPr>
      </w:pPr>
      <w:r>
        <w:t xml:space="preserve">The bleaching threshold is narrow (~1 degree C) and the safety margin has been eroded</w:t>
      </w:r>
    </w:p>
    <w:p>
      <w:pPr>
        <w:pStyle w:val="Compact"/>
        <w:numPr>
          <w:ilvl w:val="0"/>
          <w:numId w:val="1013"/>
        </w:numPr>
      </w:pPr>
      <w:r>
        <w:t xml:space="preserve">Recovery windows (now 1–2 years) are far shorter than the 10–15 years needed</w:t>
      </w:r>
    </w:p>
    <w:p>
      <w:pPr>
        <w:pStyle w:val="Compact"/>
        <w:numPr>
          <w:ilvl w:val="0"/>
          <w:numId w:val="1013"/>
        </w:numPr>
      </w:pPr>
      <w:r>
        <w:t xml:space="preserve">La Nina no longer provides protection (2022 event)</w:t>
      </w:r>
    </w:p>
    <w:p>
      <w:pPr>
        <w:pStyle w:val="Compact"/>
        <w:numPr>
          <w:ilvl w:val="0"/>
          <w:numId w:val="1013"/>
        </w:numPr>
      </w:pPr>
      <w:r>
        <w:t xml:space="preserve">The GBR is a $95 billion asset supporting 77,000 jobs</w:t>
      </w:r>
    </w:p>
    <w:p>
      <w:pPr>
        <w:pStyle w:val="Compact"/>
        <w:numPr>
          <w:ilvl w:val="0"/>
          <w:numId w:val="1013"/>
        </w:numPr>
      </w:pPr>
      <w:r>
        <w:t xml:space="preserve">Tourism has recovered to ~98% of pre-pandemic levels but remains below the 2017 peak</w:t>
      </w:r>
    </w:p>
    <w:p>
      <w:pPr>
        <w:pStyle w:val="Compact"/>
        <w:numPr>
          <w:ilvl w:val="0"/>
          <w:numId w:val="1013"/>
        </w:numPr>
      </w:pPr>
      <w:r>
        <w:t xml:space="preserve">Visitor satisfaction and perceptions of reef condition declined significantly between 2013 and 2017</w:t>
      </w:r>
    </w:p>
    <w:bookmarkEnd w:id="53"/>
    <w:bookmarkStart w:id="54" w:name="genuinely-uncertain"/>
    <w:p>
      <w:pPr>
        <w:pStyle w:val="Heading3"/>
      </w:pPr>
      <w:r>
        <w:t xml:space="preserve">Genuinely Uncertain</w:t>
      </w:r>
    </w:p>
    <w:p>
      <w:pPr>
        <w:pStyle w:val="Compact"/>
        <w:numPr>
          <w:ilvl w:val="0"/>
          <w:numId w:val="1014"/>
        </w:numPr>
      </w:pPr>
      <w:r>
        <w:t xml:space="preserve">Whether coral adaptation (~0.1 degree C/decade) can scale to 3,800+ reefs</w:t>
      </w:r>
    </w:p>
    <w:p>
      <w:pPr>
        <w:pStyle w:val="Compact"/>
        <w:numPr>
          <w:ilvl w:val="0"/>
          <w:numId w:val="1014"/>
        </w:numPr>
      </w:pPr>
      <w:r>
        <w:t xml:space="preserve">The precise tipping point for irreversible decline (mid-century is the central estimate)</w:t>
      </w:r>
    </w:p>
    <w:p>
      <w:pPr>
        <w:pStyle w:val="Compact"/>
        <w:numPr>
          <w:ilvl w:val="0"/>
          <w:numId w:val="1014"/>
        </w:numPr>
      </w:pPr>
      <w:r>
        <w:t xml:space="preserve">Whether post-COVID recovery will plateau permanently below 2017 peak levels</w:t>
      </w:r>
    </w:p>
    <w:p>
      <w:pPr>
        <w:pStyle w:val="Compact"/>
        <w:numPr>
          <w:ilvl w:val="0"/>
          <w:numId w:val="1014"/>
        </w:numPr>
      </w:pPr>
      <w:r>
        <w:t xml:space="preserve">Whether accelerating bleaching will eventually cause a tourism tipping point</w:t>
      </w:r>
    </w:p>
    <w:p>
      <w:pPr>
        <w:pStyle w:val="Compact"/>
        <w:numPr>
          <w:ilvl w:val="0"/>
          <w:numId w:val="1014"/>
        </w:numPr>
      </w:pPr>
      <w:r>
        <w:t xml:space="preserve">Whether last-chance tourism will sustain or eventually depress visitor numbers</w:t>
      </w:r>
    </w:p>
    <w:p>
      <w:pPr>
        <w:pStyle w:val="Compact"/>
        <w:numPr>
          <w:ilvl w:val="0"/>
          <w:numId w:val="1014"/>
        </w:numPr>
      </w:pPr>
      <w:r>
        <w:t xml:space="preserve">How quickly Asian tourist markets will return</w:t>
      </w:r>
    </w:p>
    <w:p>
      <w:pPr>
        <w:pStyle w:val="Compact"/>
        <w:numPr>
          <w:ilvl w:val="0"/>
          <w:numId w:val="1014"/>
        </w:numPr>
      </w:pPr>
      <w:r>
        <w:t xml:space="preserve">The degree to which Southern GBR growth can offset potential northern declines</w:t>
      </w:r>
    </w:p>
    <w:p>
      <w:r>
        <w:pict>
          <v:rect style="width:0;height:1.5pt" o:hralign="center" o:hrstd="t" o:hr="t"/>
        </w:pict>
      </w:r>
    </w:p>
    <w:bookmarkEnd w:id="54"/>
    <w:bookmarkEnd w:id="55"/>
    <w:bookmarkStart w:id="75" w:name="key-sources"/>
    <w:p>
      <w:pPr>
        <w:pStyle w:val="Heading2"/>
      </w:pPr>
      <w:r>
        <w:t xml:space="preserve">Key Sources</w:t>
      </w:r>
    </w:p>
    <w:bookmarkStart w:id="61" w:name="primary-governmentinstitutional-reports"/>
    <w:p>
      <w:pPr>
        <w:pStyle w:val="Heading3"/>
      </w:pPr>
      <w:r>
        <w:t xml:space="preserve">Primary Government/Institutional Reports</w:t>
      </w:r>
    </w:p>
    <w:p>
      <w:pPr>
        <w:pStyle w:val="Compact"/>
        <w:numPr>
          <w:ilvl w:val="0"/>
          <w:numId w:val="1015"/>
        </w:numPr>
      </w:pPr>
      <w:hyperlink r:id="rId56">
        <w:r>
          <w:rPr>
            <w:rStyle w:val="Hyperlink"/>
          </w:rPr>
          <w:t xml:space="preserve">GBRMPA — Great Barrier Reef Outlook Report 2024</w:t>
        </w:r>
      </w:hyperlink>
    </w:p>
    <w:p>
      <w:pPr>
        <w:pStyle w:val="Compact"/>
        <w:numPr>
          <w:ilvl w:val="0"/>
          <w:numId w:val="1015"/>
        </w:numPr>
      </w:pPr>
      <w:hyperlink r:id="rId57">
        <w:r>
          <w:rPr>
            <w:rStyle w:val="Hyperlink"/>
          </w:rPr>
          <w:t xml:space="preserve">AIMS — Annual Summary Report of Coral Reef Condition 2024/25</w:t>
        </w:r>
      </w:hyperlink>
    </w:p>
    <w:p>
      <w:pPr>
        <w:pStyle w:val="Compact"/>
        <w:numPr>
          <w:ilvl w:val="0"/>
          <w:numId w:val="1015"/>
        </w:numPr>
      </w:pPr>
      <w:hyperlink r:id="rId58">
        <w:r>
          <w:rPr>
            <w:rStyle w:val="Hyperlink"/>
          </w:rPr>
          <w:t xml:space="preserve">GBRMPA — Tourism Visitation Data (EMC)</w:t>
        </w:r>
      </w:hyperlink>
    </w:p>
    <w:p>
      <w:pPr>
        <w:pStyle w:val="Compact"/>
        <w:numPr>
          <w:ilvl w:val="0"/>
          <w:numId w:val="1015"/>
        </w:numPr>
      </w:pPr>
      <w:hyperlink r:id="rId59">
        <w:r>
          <w:rPr>
            <w:rStyle w:val="Hyperlink"/>
          </w:rPr>
          <w:t xml:space="preserve">NOAA Coral Reef Watch — DHW Product</w:t>
        </w:r>
      </w:hyperlink>
    </w:p>
    <w:p>
      <w:pPr>
        <w:pStyle w:val="Compact"/>
        <w:numPr>
          <w:ilvl w:val="0"/>
          <w:numId w:val="1015"/>
        </w:numPr>
      </w:pPr>
      <w:hyperlink r:id="rId60">
        <w:r>
          <w:rPr>
            <w:rStyle w:val="Hyperlink"/>
          </w:rPr>
          <w:t xml:space="preserve">IPCC SR1.5 — Impacts of 1.5 Degree C</w:t>
        </w:r>
      </w:hyperlink>
    </w:p>
    <w:bookmarkEnd w:id="61"/>
    <w:bookmarkStart w:id="67" w:name="key-peer-reviewed-research"/>
    <w:p>
      <w:pPr>
        <w:pStyle w:val="Heading3"/>
      </w:pPr>
      <w:r>
        <w:t xml:space="preserve">Key Peer-Reviewed Research</w:t>
      </w:r>
    </w:p>
    <w:p>
      <w:pPr>
        <w:pStyle w:val="Compact"/>
        <w:numPr>
          <w:ilvl w:val="0"/>
          <w:numId w:val="1016"/>
        </w:numPr>
      </w:pPr>
      <w:hyperlink r:id="rId62">
        <w:r>
          <w:rPr>
            <w:rStyle w:val="Hyperlink"/>
          </w:rPr>
          <w:t xml:space="preserve">Henley et al. (2024) — 400-year GBR temperature record (Nature)</w:t>
        </w:r>
      </w:hyperlink>
    </w:p>
    <w:p>
      <w:pPr>
        <w:pStyle w:val="Compact"/>
        <w:numPr>
          <w:ilvl w:val="0"/>
          <w:numId w:val="1016"/>
        </w:numPr>
      </w:pPr>
      <w:hyperlink r:id="rId63">
        <w:r>
          <w:rPr>
            <w:rStyle w:val="Hyperlink"/>
          </w:rPr>
          <w:t xml:space="preserve">Bozec et al. (2025) — A rapidly closing window for coral persistence (Nature Communications)</w:t>
        </w:r>
      </w:hyperlink>
    </w:p>
    <w:p>
      <w:pPr>
        <w:pStyle w:val="Compact"/>
        <w:numPr>
          <w:ilvl w:val="0"/>
          <w:numId w:val="1016"/>
        </w:numPr>
      </w:pPr>
      <w:hyperlink r:id="rId64">
        <w:r>
          <w:rPr>
            <w:rStyle w:val="Hyperlink"/>
          </w:rPr>
          <w:t xml:space="preserve">Oliver et al. (2018) — Marine heatwave frequency and duration (Nature Communications)</w:t>
        </w:r>
      </w:hyperlink>
    </w:p>
    <w:p>
      <w:pPr>
        <w:pStyle w:val="Compact"/>
        <w:numPr>
          <w:ilvl w:val="0"/>
          <w:numId w:val="1016"/>
        </w:numPr>
      </w:pPr>
      <w:hyperlink r:id="rId65">
        <w:r>
          <w:rPr>
            <w:rStyle w:val="Hyperlink"/>
          </w:rPr>
          <w:t xml:space="preserve">Logan et al. (2023) — 2022 La Nina bleaching drivers (Scientific Reports)</w:t>
        </w:r>
      </w:hyperlink>
    </w:p>
    <w:p>
      <w:pPr>
        <w:pStyle w:val="Compact"/>
        <w:numPr>
          <w:ilvl w:val="0"/>
          <w:numId w:val="1016"/>
        </w:numPr>
      </w:pPr>
      <w:hyperlink r:id="rId66">
        <w:r>
          <w:rPr>
            <w:rStyle w:val="Hyperlink"/>
          </w:rPr>
          <w:t xml:space="preserve">Piggott-McKellar &amp; McNamara (2017) — Last Chance Tourism (Journal of Sustainable Tourism)</w:t>
        </w:r>
      </w:hyperlink>
    </w:p>
    <w:bookmarkEnd w:id="67"/>
    <w:bookmarkStart w:id="71" w:name="economic-reports"/>
    <w:p>
      <w:pPr>
        <w:pStyle w:val="Heading3"/>
      </w:pPr>
      <w:r>
        <w:t xml:space="preserve">Economic Reports</w:t>
      </w:r>
    </w:p>
    <w:p>
      <w:pPr>
        <w:pStyle w:val="Compact"/>
        <w:numPr>
          <w:ilvl w:val="0"/>
          <w:numId w:val="1017"/>
        </w:numPr>
      </w:pPr>
      <w:hyperlink r:id="rId68">
        <w:r>
          <w:rPr>
            <w:rStyle w:val="Hyperlink"/>
          </w:rPr>
          <w:t xml:space="preserve">Deloitte Access Economics (2017) — At What Price?</w:t>
        </w:r>
      </w:hyperlink>
    </w:p>
    <w:p>
      <w:pPr>
        <w:pStyle w:val="Compact"/>
        <w:numPr>
          <w:ilvl w:val="0"/>
          <w:numId w:val="1017"/>
        </w:numPr>
      </w:pPr>
      <w:hyperlink r:id="rId69">
        <w:r>
          <w:rPr>
            <w:rStyle w:val="Hyperlink"/>
          </w:rPr>
          <w:t xml:space="preserve">Deloitte Access Economics (2024) — At What Cost?</w:t>
        </w:r>
      </w:hyperlink>
    </w:p>
    <w:p>
      <w:pPr>
        <w:pStyle w:val="Compact"/>
        <w:numPr>
          <w:ilvl w:val="0"/>
          <w:numId w:val="1017"/>
        </w:numPr>
      </w:pPr>
      <w:hyperlink r:id="rId70">
        <w:r>
          <w:rPr>
            <w:rStyle w:val="Hyperlink"/>
          </w:rPr>
          <w:t xml:space="preserve">CSIRO SELTMP — Shifts in tourists’ sentiments (Nature Climate Change, 2019)</w:t>
        </w:r>
      </w:hyperlink>
    </w:p>
    <w:bookmarkEnd w:id="71"/>
    <w:bookmarkStart w:id="74" w:name="detailed-research-reports"/>
    <w:p>
      <w:pPr>
        <w:pStyle w:val="Heading3"/>
      </w:pPr>
      <w:r>
        <w:t xml:space="preserve">Detailed Research Reports</w:t>
      </w:r>
    </w:p>
    <w:p>
      <w:pPr>
        <w:pStyle w:val="Compact"/>
        <w:numPr>
          <w:ilvl w:val="0"/>
          <w:numId w:val="1018"/>
        </w:numPr>
      </w:pPr>
      <w:hyperlink r:id="rId72">
        <w:r>
          <w:rPr>
            <w:rStyle w:val="Hyperlink"/>
          </w:rPr>
          <w:t xml:space="preserve">Great Barrier Reef: Coral Bleaching Science and Outlook</w:t>
        </w:r>
      </w:hyperlink>
    </w:p>
    <w:p>
      <w:pPr>
        <w:pStyle w:val="Compact"/>
        <w:numPr>
          <w:ilvl w:val="0"/>
          <w:numId w:val="1018"/>
        </w:numPr>
      </w:pPr>
      <w:hyperlink r:id="rId73">
        <w:r>
          <w:rPr>
            <w:rStyle w:val="Hyperlink"/>
          </w:rPr>
          <w:t xml:space="preserve">Great Barrier Reef: Tourism Economics and Trends</w:t>
        </w:r>
      </w:hyperlink>
    </w:p>
    <w:bookmarkEnd w:id="74"/>
    <w:bookmarkEnd w:id="75"/>
    <w:bookmarkEnd w:id="7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7">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8">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2" Target="gbr_bleaching_science_research.md" TargetMode="External" /><Relationship Type="http://schemas.openxmlformats.org/officeDocument/2006/relationships/hyperlink" Id="rId73" Target="gbr_tourism_economics_research.md" TargetMode="External" /><Relationship Type="http://schemas.openxmlformats.org/officeDocument/2006/relationships/hyperlink" Id="rId69" Target="https://barrierreef.org/uploads/Summary-At-What-Cost-Safeguarding-the-Great-Barrier-Reef-s-role-in-Australia-s-Economy.pdf" TargetMode="External" /><Relationship Type="http://schemas.openxmlformats.org/officeDocument/2006/relationships/hyperlink" Id="rId68" Target="https://barrierreef.org/uploads/deloitte-au-economics-great-barrier-reef-230617.pdf" TargetMode="External" /><Relationship Type="http://schemas.openxmlformats.org/officeDocument/2006/relationships/hyperlink" Id="rId59" Target="https://coralreefwatch.noaa.gov/product/5km/index_5km_dhw.php" TargetMode="External" /><Relationship Type="http://schemas.openxmlformats.org/officeDocument/2006/relationships/hyperlink" Id="rId56" Target="https://outlookreport.gbrmpa.gov.au/" TargetMode="External" /><Relationship Type="http://schemas.openxmlformats.org/officeDocument/2006/relationships/hyperlink" Id="rId57" Target="https://www.aims.gov.au/monitoring-great-barrier-reef/gbr-condition-summary-2024-25" TargetMode="External" /><Relationship Type="http://schemas.openxmlformats.org/officeDocument/2006/relationships/hyperlink" Id="rId60" Target="https://www.ipcc.ch/sr15/chapter/spm/" TargetMode="External" /><Relationship Type="http://schemas.openxmlformats.org/officeDocument/2006/relationships/hyperlink" Id="rId64" Target="https://www.nature.com/articles/s41467-018-03732-9" TargetMode="External" /><Relationship Type="http://schemas.openxmlformats.org/officeDocument/2006/relationships/hyperlink" Id="rId63" Target="https://www.nature.com/articles/s41467-025-65015-4" TargetMode="External" /><Relationship Type="http://schemas.openxmlformats.org/officeDocument/2006/relationships/hyperlink" Id="rId70" Target="https://www.nature.com/articles/s41558-019-0504-y" TargetMode="External" /><Relationship Type="http://schemas.openxmlformats.org/officeDocument/2006/relationships/hyperlink" Id="rId62" Target="https://www.nature.com/articles/s41586-024-07672-x" TargetMode="External" /><Relationship Type="http://schemas.openxmlformats.org/officeDocument/2006/relationships/hyperlink" Id="rId65" Target="https://www.nature.com/articles/s41598-023-33613-1" TargetMode="External" /><Relationship Type="http://schemas.openxmlformats.org/officeDocument/2006/relationships/hyperlink" Id="rId66" Target="https://www.tandfonline.com/doi/abs/10.1080/09669582.2016.1213849" TargetMode="External" /><Relationship Type="http://schemas.openxmlformats.org/officeDocument/2006/relationships/hyperlink" Id="rId58" Target="https://www2.gbrmpa.gov.au/help/tourism-visitation-data" TargetMode="External" /></Relationships>
</file>

<file path=word/_rels/footnotes.xml.rels><?xml version="1.0" encoding="UTF-8"?><Relationships xmlns="http://schemas.openxmlformats.org/package/2006/relationships"><Relationship Type="http://schemas.openxmlformats.org/officeDocument/2006/relationships/hyperlink" Id="rId72" Target="gbr_bleaching_science_research.md" TargetMode="External" /><Relationship Type="http://schemas.openxmlformats.org/officeDocument/2006/relationships/hyperlink" Id="rId73" Target="gbr_tourism_economics_research.md" TargetMode="External" /><Relationship Type="http://schemas.openxmlformats.org/officeDocument/2006/relationships/hyperlink" Id="rId69" Target="https://barrierreef.org/uploads/Summary-At-What-Cost-Safeguarding-the-Great-Barrier-Reef-s-role-in-Australia-s-Economy.pdf" TargetMode="External" /><Relationship Type="http://schemas.openxmlformats.org/officeDocument/2006/relationships/hyperlink" Id="rId68" Target="https://barrierreef.org/uploads/deloitte-au-economics-great-barrier-reef-230617.pdf" TargetMode="External" /><Relationship Type="http://schemas.openxmlformats.org/officeDocument/2006/relationships/hyperlink" Id="rId59" Target="https://coralreefwatch.noaa.gov/product/5km/index_5km_dhw.php" TargetMode="External" /><Relationship Type="http://schemas.openxmlformats.org/officeDocument/2006/relationships/hyperlink" Id="rId56" Target="https://outlookreport.gbrmpa.gov.au/" TargetMode="External" /><Relationship Type="http://schemas.openxmlformats.org/officeDocument/2006/relationships/hyperlink" Id="rId57" Target="https://www.aims.gov.au/monitoring-great-barrier-reef/gbr-condition-summary-2024-25" TargetMode="External" /><Relationship Type="http://schemas.openxmlformats.org/officeDocument/2006/relationships/hyperlink" Id="rId60" Target="https://www.ipcc.ch/sr15/chapter/spm/" TargetMode="External" /><Relationship Type="http://schemas.openxmlformats.org/officeDocument/2006/relationships/hyperlink" Id="rId64" Target="https://www.nature.com/articles/s41467-018-03732-9" TargetMode="External" /><Relationship Type="http://schemas.openxmlformats.org/officeDocument/2006/relationships/hyperlink" Id="rId63" Target="https://www.nature.com/articles/s41467-025-65015-4" TargetMode="External" /><Relationship Type="http://schemas.openxmlformats.org/officeDocument/2006/relationships/hyperlink" Id="rId70" Target="https://www.nature.com/articles/s41558-019-0504-y" TargetMode="External" /><Relationship Type="http://schemas.openxmlformats.org/officeDocument/2006/relationships/hyperlink" Id="rId62" Target="https://www.nature.com/articles/s41586-024-07672-x" TargetMode="External" /><Relationship Type="http://schemas.openxmlformats.org/officeDocument/2006/relationships/hyperlink" Id="rId65" Target="https://www.nature.com/articles/s41598-023-33613-1" TargetMode="External" /><Relationship Type="http://schemas.openxmlformats.org/officeDocument/2006/relationships/hyperlink" Id="rId66" Target="https://www.tandfonline.com/doi/abs/10.1080/09669582.2016.1213849" TargetMode="External" /><Relationship Type="http://schemas.openxmlformats.org/officeDocument/2006/relationships/hyperlink" Id="rId58" Target="https://www2.gbrmpa.gov.au/help/tourism-visitation-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2026-03-13T01:08:38Z</dcterms:created>
  <dcterms:modified xsi:type="dcterms:W3CDTF">2026-03-13T01:08:38Z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