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iesel-electrification-note-next-steps"/>
    <w:p>
      <w:pPr>
        <w:pStyle w:val="Heading1"/>
      </w:pPr>
      <w:r>
        <w:t xml:space="preserve">Diesel Electrification Note: Next Steps</w:t>
      </w:r>
    </w:p>
    <w:bookmarkStart w:id="21" w:name="completed-sections"/>
    <w:p>
      <w:pPr>
        <w:pStyle w:val="Heading2"/>
      </w:pPr>
      <w:r>
        <w:t xml:space="preserve">Completed sections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Summary</w:t>
      </w:r>
      <w:r>
        <w:t xml:space="preserve"> </w:t>
      </w:r>
      <w:r>
        <w:t xml:space="preserve">— headline diesel budget framing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Transport Emissions by Sub-Sector</w:t>
      </w:r>
      <w:r>
        <w:t xml:space="preserve"> </w:t>
      </w:r>
      <w:r>
        <w:t xml:space="preserve">— CCA 90 Mt breakdown (Table T.1)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Road Transport Diesel: By Vehicle Type</w:t>
      </w:r>
      <w:r>
        <w:t xml:space="preserve"> </w:t>
      </w:r>
      <w:r>
        <w:t xml:space="preserve">— ABS SMVU 2020 full 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Road Transport Diesel: By State</w:t>
      </w:r>
      <w:r>
        <w:t xml:space="preserve"> </w:t>
      </w:r>
      <w:r>
        <w:t xml:space="preserve">— ABS SMVU 2020 state breakdown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Off-Road Diesel</w:t>
      </w:r>
      <w:r>
        <w:t xml:space="preserve"> </w:t>
      </w:r>
      <w:r>
        <w:t xml:space="preserve">— mining, agriculture, construction estimates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Total Diesel Budget</w:t>
      </w:r>
      <w:r>
        <w:t xml:space="preserve"> </w:t>
      </w:r>
      <w:r>
        <w:t xml:space="preserve">— combined ~30 BL 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Electrification Implications</w:t>
      </w:r>
      <w:r>
        <w:t xml:space="preserve"> </w:t>
      </w:r>
      <w:r>
        <w:t xml:space="preserve">— sector-by-sector framing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Trucks: The Largest Road Diesel Consumer</w:t>
      </w:r>
      <w:r>
        <w:t xml:space="preserve"> </w:t>
      </w:r>
      <w:r>
        <w:t xml:space="preserve">— weight class + area of operation + electrification implications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International Comparison</w:t>
      </w:r>
      <w:r>
        <w:t xml:space="preserve"> </w:t>
      </w:r>
      <w:r>
        <w:t xml:space="preserve">— China, EU, UK, Australia, Vietnam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Charging Infrastructure for Heavy Trucks</w:t>
      </w:r>
      <w:r>
        <w:t xml:space="preserve"> </w:t>
      </w:r>
      <w:r>
        <w:t xml:space="preserve">— battery-swap vs MCS vs Tesla Megacharger vs Windrose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Long-Haul Electric Trucks: The Contenders</w:t>
      </w:r>
      <w:r>
        <w:t xml:space="preserve"> </w:t>
      </w:r>
      <w:r>
        <w:t xml:space="preserve">— eActros 600, Volvo FH Aero/FH Electric, Scania R 450e, DAF, Windrose E1400, Tesla Semi, B-double problem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Bus Kilometres by State</w:t>
      </w:r>
      <w:r>
        <w:t xml:space="preserve"> </w:t>
      </w:r>
      <w:r>
        <w:t xml:space="preserve">— ABS SMVU 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Light Commercial Vehicles</w:t>
      </w:r>
      <w:r>
        <w:t xml:space="preserve"> </w:t>
      </w:r>
      <w:r>
        <w:t xml:space="preserve">— PHEV utes, BEV utes, electric vans (eSprinter, E-Transit, E-Transit Custom reviews), barriers, UK/EU as leading indicators, policy levers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 Gaps</w:t>
      </w:r>
      <w:r>
        <w:t xml:space="preserve"> </w:t>
      </w:r>
      <w:r>
        <w:t xml:space="preserve">— 8 items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European sales: who is winning?</w:t>
      </w:r>
      <w:r>
        <w:t xml:space="preserve"> </w:t>
      </w:r>
      <w:r>
        <w:t xml:space="preserve">— EU ZE truck registrations 2025 rankings table (eActros 600 #1)</w:t>
      </w:r>
    </w:p>
    <w:bookmarkStart w:id="20" w:name="separate-background-documents"/>
    <w:p>
      <w:pPr>
        <w:pStyle w:val="Heading3"/>
      </w:pPr>
      <w:r>
        <w:t xml:space="preserve">Separate background documents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  <w:b/>
          <w:bCs/>
        </w:rPr>
        <w:t xml:space="preserve">etruck_economics.md</w:t>
      </w:r>
      <w:r>
        <w:t xml:space="preserve"> </w:t>
      </w:r>
      <w:r>
        <w:t xml:space="preserve">— diesel consumption per km, electric equivalent kWh/km, operating cost $/km, payback periods for all 11 vehicle classes plus mining (Section 11). Includes summary table, diesel-to-electricity conversion analysis, policy prioritisation scorecard, and China NE commercial vehicle validation data.</w:t>
      </w:r>
    </w:p>
    <w:bookmarkEnd w:id="20"/>
    <w:bookmarkEnd w:id="21"/>
    <w:bookmarkStart w:id="25" w:name="remaining-work"/>
    <w:p>
      <w:pPr>
        <w:pStyle w:val="Heading2"/>
      </w:pPr>
      <w:r>
        <w:t xml:space="preserve">Remaining work</w:t>
      </w:r>
    </w:p>
    <w:bookmarkStart w:id="22" w:name="content-gaps-to-fill"/>
    <w:p>
      <w:pPr>
        <w:pStyle w:val="Heading3"/>
      </w:pPr>
      <w:r>
        <w:t xml:space="preserve">Content gaps to fill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  <w:strike/>
        </w:rPr>
        <w:t xml:space="preserve">Mining electrification</w:t>
      </w:r>
      <w:r>
        <w:t xml:space="preserve"> </w:t>
      </w:r>
      <w:r>
        <w:t xml:space="preserve">— DONE, added as Section 11 to</w:t>
      </w:r>
      <w:r>
        <w:t xml:space="preserve"> </w:t>
      </w:r>
      <w:r>
        <w:rPr>
          <w:rStyle w:val="VerbatimChar"/>
        </w:rPr>
        <w:t xml:space="preserve">etruck_economics.md</w:t>
      </w:r>
      <w:r>
        <w:t xml:space="preserve">. Covers 9.6 BL diesel budget, equipment breakdown, BEV haul trucks (Cat 793 XE, Liebherr T 264, XCMG), trolley-assist, underground BEV (Sandvik, Epiroc), Australian deployments (Fortescue, BHP, Rio Tinto)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Agricultural electrification</w:t>
      </w:r>
      <w:r>
        <w:t xml:space="preserve"> </w:t>
      </w:r>
      <w:r>
        <w:t xml:space="preserve">— electric tractors (Monarch, John Deere SESAM), solar+battery for irrigation, timeline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Hydrogen vs battery for long-haul</w:t>
      </w:r>
      <w:r>
        <w:t xml:space="preserve"> </w:t>
      </w:r>
      <w:r>
        <w:t xml:space="preserve">— brief treatment of FCEV trucks (Hyundai XCIENT, Nikola Tre FCEV), likely role for road trains &gt;100t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Policy comparison table</w:t>
      </w:r>
      <w:r>
        <w:t xml:space="preserve"> </w:t>
      </w:r>
      <w:r>
        <w:t xml:space="preserve">— Australia vs EU vs China vs US policy instruments side by side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  <w:strike/>
        </w:rPr>
        <w:t xml:space="preserve">Policy prioritisation scorecard</w:t>
      </w:r>
      <w:r>
        <w:t xml:space="preserve"> </w:t>
      </w:r>
      <w:r>
        <w:t xml:space="preserve">— DONE, added to</w:t>
      </w:r>
      <w:r>
        <w:t xml:space="preserve"> </w:t>
      </w:r>
      <w:r>
        <w:rPr>
          <w:rStyle w:val="VerbatimChar"/>
        </w:rPr>
        <w:t xml:space="preserve">etruck_economics.md</w:t>
      </w:r>
    </w:p>
    <w:bookmarkEnd w:id="22"/>
    <w:bookmarkStart w:id="23" w:name="charts-to-create"/>
    <w:p>
      <w:pPr>
        <w:pStyle w:val="Heading3"/>
      </w:pPr>
      <w:r>
        <w:t xml:space="preserve">Charts to create</w:t>
      </w:r>
    </w:p>
    <w:p>
      <w:pPr>
        <w:pStyle w:val="Compact"/>
        <w:numPr>
          <w:ilvl w:val="0"/>
          <w:numId w:val="1004"/>
        </w:numPr>
      </w:pPr>
      <w:r>
        <w:t xml:space="preserve">Treemap of 30 BL total diesel budget (already have PNG 1 from diesel_drilldown_charts.py)</w:t>
      </w:r>
    </w:p>
    <w:p>
      <w:pPr>
        <w:pStyle w:val="Compact"/>
        <w:numPr>
          <w:ilvl w:val="0"/>
          <w:numId w:val="1004"/>
        </w:numPr>
      </w:pPr>
      <w:r>
        <w:t xml:space="preserve">Truck diesel by weight class (already have PNG 2)</w:t>
      </w:r>
    </w:p>
    <w:p>
      <w:pPr>
        <w:pStyle w:val="Compact"/>
        <w:numPr>
          <w:ilvl w:val="0"/>
          <w:numId w:val="1004"/>
        </w:numPr>
      </w:pPr>
      <w:r>
        <w:t xml:space="preserve">Consider: stacked area chart of projected BEV truck share by segment to 2040</w:t>
      </w:r>
    </w:p>
    <w:bookmarkEnd w:id="23"/>
    <w:bookmarkStart w:id="24" w:name="editorial"/>
    <w:p>
      <w:pPr>
        <w:pStyle w:val="Heading3"/>
      </w:pPr>
      <w:r>
        <w:t xml:space="preserve">Editorial</w:t>
      </w:r>
    </w:p>
    <w:p>
      <w:pPr>
        <w:pStyle w:val="Compact"/>
        <w:numPr>
          <w:ilvl w:val="0"/>
          <w:numId w:val="1005"/>
        </w:numPr>
      </w:pPr>
      <w:r>
        <w:t xml:space="preserve">Review all sections for consistent citation style</w:t>
      </w:r>
    </w:p>
    <w:p>
      <w:pPr>
        <w:pStyle w:val="Compact"/>
        <w:numPr>
          <w:ilvl w:val="0"/>
          <w:numId w:val="1005"/>
        </w:numPr>
      </w:pPr>
      <w:r>
        <w:t xml:space="preserve">Cross-check all numbers against primary sources</w:t>
      </w:r>
    </w:p>
    <w:p>
      <w:pPr>
        <w:pStyle w:val="Compact"/>
        <w:numPr>
          <w:ilvl w:val="0"/>
          <w:numId w:val="1005"/>
        </w:numPr>
      </w:pPr>
      <w:r>
        <w:t xml:space="preserve">Run through research-standards checklist</w:t>
      </w:r>
    </w:p>
    <w:p>
      <w:pPr>
        <w:pStyle w:val="Compact"/>
        <w:numPr>
          <w:ilvl w:val="0"/>
          <w:numId w:val="1005"/>
        </w:numPr>
      </w:pPr>
      <w:r>
        <w:t xml:space="preserve">Remove</w:t>
      </w:r>
      <w:r>
        <w:t xml:space="preserve"> </w:t>
      </w:r>
      <w:r>
        <w:rPr>
          <w:rStyle w:val="VerbatimChar"/>
        </w:rPr>
        <w:t xml:space="preserve">draft: true</w:t>
      </w:r>
      <w:r>
        <w:t xml:space="preserve"> </w:t>
      </w:r>
      <w:r>
        <w:t xml:space="preserve">from YAML when ready to publish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2026-03-22T09:14:58Z</dcterms:created>
  <dcterms:modified xsi:type="dcterms:W3CDTF">2026-03-22T09:14:58Z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