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0" w:name="Xdbd99e58ed0303a111278a3b08399af0ae01615"/>
    <w:p>
      <w:pPr>
        <w:pStyle w:val="Heading1"/>
      </w:pPr>
      <w:r>
        <w:t xml:space="preserve">Queensland Infrastructure Damage and Insurance Costs: Floods, Cyclones, and Drought</w:t>
      </w:r>
    </w:p>
    <w:bookmarkStart w:id="20" w:name="research-summary-march-2026"/>
    <w:p>
      <w:pPr>
        <w:pStyle w:val="Heading2"/>
      </w:pPr>
      <w:r>
        <w:t xml:space="preserve">Research Summary — March 2026</w:t>
      </w:r>
    </w:p>
    <w:p>
      <w:pPr>
        <w:pStyle w:val="FirstParagraph"/>
      </w:pPr>
      <w:r>
        <w:t xml:space="preserve">This document covers broader infrastructure damage and insurance costs in Queensland from natural disasters, excluding roads (separate report) and fencing/livestock (separate report). It encompasses power, water, rail, telecommunications, public buildings, agricultural infrastructure, and the insurance affordability crisis.</w:t>
      </w:r>
    </w:p>
    <w:p>
      <w:r>
        <w:pict>
          <v:rect style="width:0;height:1.5pt" o:hralign="center" o:hrstd="t" o:hr="t"/>
        </w:pict>
      </w:r>
    </w:p>
    <w:bookmarkEnd w:id="20"/>
    <w:bookmarkStart w:id="22" w:name="major-disaster-costs-in-queensland"/>
    <w:p>
      <w:pPr>
        <w:pStyle w:val="Heading2"/>
      </w:pPr>
      <w:r>
        <w:t xml:space="preserve">Major Disaster Costs in Queensland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" w:name="tbl-disaster-cost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698"/>
              <w:gridCol w:w="815"/>
              <w:gridCol w:w="2445"/>
              <w:gridCol w:w="3028"/>
              <w:gridCol w:w="931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Insured Losses (A</w:t>
                  </w:r>
                  <m:oMath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t>o</m:t>
                    </m:r>
                    <m:r>
                      <m:t>t</m:t>
                    </m:r>
                    <m:r>
                      <m:t>a</m:t>
                    </m:r>
                    <m:r>
                      <m:t>l</m:t>
                    </m:r>
                    <m:r>
                      <m:t>E</m:t>
                    </m:r>
                    <m:r>
                      <m:t>c</m:t>
                    </m:r>
                    <m:r>
                      <m:t>o</m:t>
                    </m:r>
                    <m:r>
                      <m:t>n</m:t>
                    </m:r>
                    <m:r>
                      <m:t>o</m:t>
                    </m:r>
                    <m:r>
                      <m:t>m</m:t>
                    </m:r>
                    <m:r>
                      <m:t>i</m:t>
                    </m:r>
                    <m:r>
                      <m:t>c</m:t>
                    </m:r>
                    <m:r>
                      <m:t>C</m:t>
                    </m:r>
                    <m:r>
                      <m:t>o</m:t>
                    </m:r>
                    <m:r>
                      <m:t>s</m:t>
                    </m:r>
                    <m: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QLD Floods (Brisbane etc.)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$2.1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$6.7B tangible / $14.1B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deloitte-access-economics-2011?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Yasi (Cat 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$1.4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$3.5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ICA-catastrophe-data-2011?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swiss-re-yasi-2021?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Marcia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$404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$750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ICA-catastrophe-data-2015?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Debbie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$1.74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$3.5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ICA-catastrophe-data-2017?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QRA-debbie-2017?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Townsville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$1.24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$5.68B (Deloitte, inc. livestock)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PERILS-townsville-2020?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deloitte-monsoon-trough-2019?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$5.56 billion*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$7.7 billion (QLD only)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ICA-2022-flood?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deloitte-QRA-2022?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+ Christmas storms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$743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 billion (Cairns SA4: $649M)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ICA-jasper-2024?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cairns-council-2024?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Jan–Feb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North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$304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&gt;$1.2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ICA-2025-update?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Mar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Ex-TC Alfred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$1.5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~$1.8–2.7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ICA-2025-update?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sbs-alfred-2025?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Oct–Nov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Spring Storms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$601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n/a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ICA-2025-annual?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1: Total and insured costs from major Queensland natural disaster events</w:t>
            </w:r>
          </w:p>
          <w:bookmarkEnd w:id="21"/>
        </w:tc>
      </w:tr>
    </w:tbl>
    <w:p>
      <w:pPr>
        <w:pStyle w:val="BodyText"/>
      </w:pPr>
      <w:r>
        <w:t xml:space="preserve">: Source: ICA catastrophe data, Deloitte Access Economics, QRA reports. *The 2022 figure of $5.56B covers SE QLD + Northern NSW combined; QLD share was the majority but not separately broken out by ICA.</w:t>
      </w:r>
    </w:p>
    <w:p>
      <w:pPr>
        <w:pStyle w:val="BodyText"/>
      </w:pPr>
      <w:r>
        <w:rPr>
          <w:b/>
          <w:bCs/>
        </w:rPr>
        <w:t xml:space="preserve">Key observation</w:t>
      </w:r>
      <w:r>
        <w:t xml:space="preserve">: Insured losses are typically 30–50% of total economic costs. The uninsured/underinsured gap, infrastructure damage, lost economic activity, and social costs account for the remainder. The 2022 SE QLD flood is the costliest flood in Australian history.</w:t>
      </w:r>
    </w:p>
    <w:p>
      <w:r>
        <w:pict>
          <v:rect style="width:0;height:1.5pt" o:hralign="center" o:hrstd="t" o:hr="t"/>
        </w:pict>
      </w:r>
    </w:p>
    <w:bookmarkEnd w:id="22"/>
    <w:bookmarkStart w:id="25" w:name="trend-analysis-costs-accelerating"/>
    <w:p>
      <w:pPr>
        <w:pStyle w:val="Heading2"/>
      </w:pPr>
      <w:r>
        <w:t xml:space="preserve">Trend Analysis: Costs Accelerating</w:t>
      </w:r>
    </w:p>
    <w:bookmarkStart w:id="23" w:name="Xa56553ed01d50384b61e89ffc800c9505d89b6f"/>
    <w:p>
      <w:pPr>
        <w:pStyle w:val="Heading3"/>
      </w:pPr>
      <w:r>
        <w:t xml:space="preserve">National Trend (Deloitte Access Economics / Australian Business Roundtable)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Current annual cost</w:t>
      </w:r>
      <w:r>
        <w:t xml:space="preserve">: $38 billion per year nationally (2024)</w:t>
      </w:r>
      <w:r>
        <w:t xml:space="preserve"> </w:t>
      </w:r>
      <w:r>
        <w:t xml:space="preserve">(</w:t>
      </w:r>
      <w:r>
        <w:rPr>
          <w:b/>
          <w:bCs/>
        </w:rPr>
        <w:t xml:space="preserve">deloitte-resilience-2024?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Projected 2050</w:t>
      </w:r>
      <w:r>
        <w:t xml:space="preserve">: $73 billion/year (low emissions) to $94 billion (high emissions, 3°C)</w:t>
      </w:r>
      <w:r>
        <w:t xml:space="preserve"> </w:t>
      </w:r>
      <w:r>
        <w:t xml:space="preserve">(</w:t>
      </w:r>
      <w:r>
        <w:rPr>
          <w:b/>
          <w:bCs/>
        </w:rPr>
        <w:t xml:space="preserve">IAG-deloitte-2024?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Cumulative 40-year cost</w:t>
      </w:r>
      <w:r>
        <w:t xml:space="preserve">: $1.2 trillion even under low emissions</w:t>
      </w:r>
      <w:r>
        <w:t xml:space="preserve"> </w:t>
      </w:r>
      <w:r>
        <w:t xml:space="preserve">(</w:t>
      </w:r>
      <w:r>
        <w:rPr>
          <w:b/>
          <w:bCs/>
        </w:rPr>
        <w:t xml:space="preserve">deloitte-resilience-2024?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Cost per household</w:t>
      </w:r>
      <w:r>
        <w:t xml:space="preserve">: Increased</w:t>
      </w:r>
      <w:r>
        <w:t xml:space="preserve"> </w:t>
      </w:r>
      <w:r>
        <w:rPr>
          <w:b/>
          <w:bCs/>
        </w:rPr>
        <w:t xml:space="preserve">73%</w:t>
      </w:r>
      <w:r>
        <w:t xml:space="preserve"> </w:t>
      </w:r>
      <w:r>
        <w:t xml:space="preserve">from the ten-year average to $1,532 in 2021–22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climate-council-deluge-2023?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Trend</w:t>
      </w:r>
      <w:r>
        <w:t xml:space="preserve">: Disaster costs have</w:t>
      </w:r>
      <w:r>
        <w:t xml:space="preserve"> </w:t>
      </w:r>
      <w:r>
        <w:rPr>
          <w:b/>
          <w:bCs/>
        </w:rPr>
        <w:t xml:space="preserve">more than doubled since the 1970s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climate-council-deluge-2023?</w:t>
      </w:r>
      <w:r>
        <w:t xml:space="preserve">)</w:t>
      </w:r>
    </w:p>
    <w:bookmarkEnd w:id="23"/>
    <w:bookmarkStart w:id="24" w:name="queensland-specific"/>
    <w:p>
      <w:pPr>
        <w:pStyle w:val="Heading3"/>
      </w:pPr>
      <w:r>
        <w:t xml:space="preserve">Queensland-Specific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QRA</w:t>
      </w:r>
      <w:r>
        <w:t xml:space="preserve">: $29 billion managed since 2011 across 135 events; active program of $14.2B for 2020–25 alone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QRA-annual-report-2025?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2024–25</w:t>
      </w:r>
      <w:r>
        <w:t xml:space="preserve">: Record</w:t>
      </w:r>
      <w:r>
        <w:t xml:space="preserve"> </w:t>
      </w:r>
      <w:r>
        <w:rPr>
          <w:b/>
          <w:bCs/>
        </w:rPr>
        <w:t xml:space="preserve">17 separate disaster events</w:t>
      </w:r>
      <w:r>
        <w:t xml:space="preserve"> </w:t>
      </w:r>
      <w:r>
        <w:t xml:space="preserve">in one year</w:t>
      </w:r>
      <w:r>
        <w:t xml:space="preserve"> </w:t>
      </w:r>
      <w:r>
        <w:t xml:space="preserve">(</w:t>
      </w:r>
      <w:r>
        <w:rPr>
          <w:b/>
          <w:bCs/>
        </w:rPr>
        <w:t xml:space="preserve">QRA-2025?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Brisbane</w:t>
      </w:r>
      <w:r>
        <w:t xml:space="preserve">: 4 major floods in 15 years (2011, 2013, 2022, 2025)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Average government spending on disaster recovery</w:t>
      </w:r>
      <w:r>
        <w:t xml:space="preserve"> </w:t>
      </w:r>
      <w:r>
        <w:t xml:space="preserve">could be almost</w:t>
      </w:r>
      <w:r>
        <w:t xml:space="preserve"> </w:t>
      </w:r>
      <w:r>
        <w:rPr>
          <w:b/>
          <w:bCs/>
        </w:rPr>
        <w:t xml:space="preserve">seven times higher by 2090</w:t>
      </w:r>
      <w:r>
        <w:t xml:space="preserve"> </w:t>
      </w:r>
      <w:r>
        <w:t xml:space="preserve">under 3°C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climate-council-markets-2024?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ower-infrastructure"/>
    <w:p>
      <w:pPr>
        <w:pStyle w:val="Heading2"/>
      </w:pPr>
      <w:r>
        <w:t xml:space="preserve">Power Infrastructure</w:t>
      </w:r>
    </w:p>
    <w:bookmarkStart w:id="27" w:name="Xdcf2c3aff02a269b739194e688d74c147048015"/>
    <w:p>
      <w:pPr>
        <w:pStyle w:val="Heading3"/>
      </w:pPr>
      <w:r>
        <w:t xml:space="preserve">AER-Approved Cost Pass-Throughs for Energy Queensland</w:t>
      </w:r>
    </w:p>
    <w:p>
      <w:pPr>
        <w:pStyle w:val="FirstParagraph"/>
      </w:pPr>
      <w:r>
        <w:t xml:space="preserve">These are documented, audited incremental costs passed through to electricity consumers: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power-cost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352"/>
              <w:gridCol w:w="1738"/>
              <w:gridCol w:w="3283"/>
              <w:gridCol w:w="154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Network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Approved Amount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(Dec 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Ergon Energy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$24.6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AER-energy-qld-2024?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Kirrily (Jan 2024)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Ergon Energy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$15.3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AER-energy-qld-2024?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Storms (Dec 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Energex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$11.5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AER-energy-qld-2024?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 Feb–Mar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Energex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$18.1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AER-energex-2023?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Total recent pass-throughs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$69.5 million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2: AER-approved natural disaster cost pass-throughs for Energy Queensland</w:t>
            </w:r>
          </w:p>
          <w:bookmarkEnd w:id="26"/>
        </w:tc>
      </w:tr>
    </w:tbl>
    <w:p>
      <w:pPr>
        <w:pStyle w:val="BodyText"/>
      </w:pPr>
      <w:r>
        <w:t xml:space="preserve">: Source: AER determinations. These represent only incremental costs above normal regulatory allowances. Actual restoration costs are substantially higher.</w:t>
      </w:r>
    </w:p>
    <w:bookmarkEnd w:id="27"/>
    <w:bookmarkStart w:id="28" w:name="scale-of-major-restoration-efforts"/>
    <w:p>
      <w:pPr>
        <w:pStyle w:val="Heading3"/>
      </w:pPr>
      <w:r>
        <w:t xml:space="preserve">Scale of Major Restoration Efforts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TC Alfred (2025)</w:t>
      </w:r>
      <w:r>
        <w:t xml:space="preserve">: 300,000+ homes and businesses lost power. Described as the</w:t>
      </w:r>
      <w:r>
        <w:t xml:space="preserve"> </w:t>
      </w:r>
      <w:r>
        <w:rPr>
          <w:b/>
          <w:bCs/>
        </w:rPr>
        <w:t xml:space="preserve">“biggest post-disaster power restoration in Queensland’s history”</w:t>
      </w:r>
      <w:r>
        <w:t xml:space="preserve"> </w:t>
      </w:r>
      <w:r>
        <w:t xml:space="preserve">— 500,000 properties affected, 9,000 km of line patrols, thousands of responders</w:t>
      </w:r>
      <w:r>
        <w:t xml:space="preserve"> </w:t>
      </w:r>
      <w:r>
        <w:t xml:space="preserve">(</w:t>
      </w:r>
      <w:r>
        <w:rPr>
          <w:b/>
          <w:bCs/>
        </w:rPr>
        <w:t xml:space="preserve">ergon-alfred-2025?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TC Yasi (2011)</w:t>
      </w:r>
      <w:r>
        <w:t xml:space="preserve">: 150,000 homes without power; 480,000 homes/businesses affected at peak. Damage ~$100M+</w:t>
      </w:r>
      <w:r>
        <w:t xml:space="preserve"> </w:t>
      </w:r>
      <w:r>
        <w:t xml:space="preserve">(</w:t>
      </w:r>
      <w:r>
        <w:rPr>
          <w:b/>
          <w:bCs/>
        </w:rPr>
        <w:t xml:space="preserve">ergon-yasi-2011?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NQ Floods (2025)</w:t>
      </w:r>
      <w:r>
        <w:t xml:space="preserve">: 33,000 customers restored; landslides wiped out poles and wires, two substations de-energised</w:t>
      </w:r>
      <w:r>
        <w:t xml:space="preserve"> </w:t>
      </w:r>
      <w:r>
        <w:t xml:space="preserve">(</w:t>
      </w:r>
      <w:r>
        <w:rPr>
          <w:b/>
          <w:bCs/>
        </w:rPr>
        <w:t xml:space="preserve">ergon-floods-2025?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TC Jasper (2023)</w:t>
      </w:r>
      <w:r>
        <w:t xml:space="preserve">: ~50,000 customers lost power</w:t>
      </w:r>
      <w:r>
        <w:t xml:space="preserve"> </w:t>
      </w:r>
      <w:r>
        <w:t xml:space="preserve">(</w:t>
      </w:r>
      <w:r>
        <w:rPr>
          <w:b/>
          <w:bCs/>
        </w:rPr>
        <w:t xml:space="preserve">ergon-jasper-2023?</w:t>
      </w:r>
      <w:r>
        <w:t xml:space="preserve">)</w:t>
      </w:r>
    </w:p>
    <w:p>
      <w:pPr>
        <w:pStyle w:val="FirstParagraph"/>
      </w:pPr>
      <w:r>
        <w:t xml:space="preserve">Conservative estimate:</w:t>
      </w:r>
      <w:r>
        <w:t xml:space="preserve"> </w:t>
      </w:r>
      <w:r>
        <w:rPr>
          <w:b/>
          <w:bCs/>
        </w:rPr>
        <w:t xml:space="preserve">$50–100 million per major cyclone/flood event</w:t>
      </w:r>
      <w:r>
        <w:t xml:space="preserve"> </w:t>
      </w:r>
      <w:r>
        <w:t xml:space="preserve">for distribution network restoration. Major events (TC Yasi, TC Alfred) likely exceed $100 million each.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water-infrastructure"/>
    <w:p>
      <w:pPr>
        <w:pStyle w:val="Heading2"/>
      </w:pPr>
      <w:r>
        <w:t xml:space="preserve">Water Infrastructure</w:t>
      </w:r>
    </w:p>
    <w:bookmarkStart w:id="31" w:name="Xbe086cb00e01f4c851b6b6f86971fcdfed1dac4"/>
    <w:p>
      <w:pPr>
        <w:pStyle w:val="Heading3"/>
      </w:pPr>
      <w:r>
        <w:t xml:space="preserve">Drought-Driven Investment (Millennium Drought)</w:t>
      </w:r>
    </w:p>
    <w:p>
      <w:pPr>
        <w:pStyle w:val="FirstParagraph"/>
      </w:pPr>
      <w:r>
        <w:t xml:space="preserve">The Millennium Drought (2001–2009) drove approximately</w:t>
      </w:r>
      <w:r>
        <w:t xml:space="preserve"> </w:t>
      </w:r>
      <w:r>
        <w:rPr>
          <w:b/>
          <w:bCs/>
        </w:rPr>
        <w:t xml:space="preserve">$7 billion</w:t>
      </w:r>
      <w:r>
        <w:t xml:space="preserve"> </w:t>
      </w:r>
      <w:r>
        <w:t xml:space="preserve">in emergency water infrastructure: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tbl-water-infra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545"/>
              <w:gridCol w:w="3111"/>
              <w:gridCol w:w="2262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Project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Cost (A$)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Status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Gold Coast Desalination Plant (133 ML/day)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$869 million (QLD Govt)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Operating at low capacity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Western Corridor Recycled Water Scheme (59 GL)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$2.7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Largely dormant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SEQ Water Grid (interconnecting pipelines)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 of ~$7B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Operating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Total drought-response water infrastructure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~$7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Many assets underutilised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3: Major drought-response water infrastructure in Queensland</w:t>
            </w:r>
          </w:p>
          <w:bookmarkEnd w:id="30"/>
        </w:tc>
      </w:tr>
    </w:tbl>
    <w:p>
      <w:pPr>
        <w:pStyle w:val="BodyText"/>
      </w:pPr>
      <w:r>
        <w:t xml:space="preserve">: Source: Oxford Economics, Seqwater, QLD Government reports. Often cited as cautionary examples of crisis-driven infrastructure spending</w:t>
      </w:r>
      <w:r>
        <w:t xml:space="preserve"> </w:t>
      </w:r>
      <w:r>
        <w:t xml:space="preserve">(</w:t>
      </w:r>
      <w:r>
        <w:rPr>
          <w:b/>
          <w:bCs/>
        </w:rPr>
        <w:t xml:space="preserve">oxford-economics-bulk-water-2026?</w:t>
      </w:r>
      <w:r>
        <w:t xml:space="preserve">)</w:t>
      </w:r>
      <w:r>
        <w:t xml:space="preserve">.</w:t>
      </w:r>
    </w:p>
    <w:bookmarkEnd w:id="31"/>
    <w:bookmarkStart w:id="32" w:name="future-water-investment"/>
    <w:p>
      <w:pPr>
        <w:pStyle w:val="Heading3"/>
      </w:pPr>
      <w:r>
        <w:t xml:space="preserve">Future Water Investment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Paradise Dam rebuild</w:t>
      </w:r>
      <w:r>
        <w:t xml:space="preserve">: Flood damage necessitated a rebuild at</w:t>
      </w:r>
      <w:r>
        <w:t xml:space="preserve"> </w:t>
      </w:r>
      <w:r>
        <w:rPr>
          <w:b/>
          <w:bCs/>
        </w:rPr>
        <w:t xml:space="preserve">$4.4 billion</w:t>
      </w:r>
      <w:r>
        <w:t xml:space="preserve"> </w:t>
      </w:r>
      <w:r>
        <w:t xml:space="preserve">(up from original $1.2B)</w:t>
      </w:r>
      <w:r>
        <w:t xml:space="preserve"> </w:t>
      </w:r>
      <w:r>
        <w:t xml:space="preserve">(</w:t>
      </w:r>
      <w:r>
        <w:rPr>
          <w:b/>
          <w:bCs/>
        </w:rPr>
        <w:t xml:space="preserve">QLD-govt-water-2025?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New SEQ Desalination Plant</w:t>
      </w:r>
      <w:r>
        <w:t xml:space="preserve">: Planned for delivery by 2035, estimated cost</w:t>
      </w:r>
      <w:r>
        <w:t xml:space="preserve"> </w:t>
      </w:r>
      <w:r>
        <w:rPr>
          <w:b/>
          <w:bCs/>
        </w:rPr>
        <w:t xml:space="preserve">$4–8 billion</w:t>
      </w:r>
      <w:r>
        <w:t xml:space="preserve"> </w:t>
      </w:r>
      <w:r>
        <w:t xml:space="preserve">(</w:t>
      </w:r>
      <w:r>
        <w:rPr>
          <w:b/>
          <w:bCs/>
        </w:rPr>
        <w:t xml:space="preserve">seqwater-desalination-2024?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QLD Water/Sewage Investment Pipeline</w:t>
      </w:r>
      <w:r>
        <w:t xml:space="preserve">: Nearly</w:t>
      </w:r>
      <w:r>
        <w:t xml:space="preserve"> </w:t>
      </w:r>
      <w:r>
        <w:rPr>
          <w:b/>
          <w:bCs/>
        </w:rPr>
        <w:t xml:space="preserve">$6.5 billion</w:t>
      </w:r>
      <w:r>
        <w:t xml:space="preserve"> </w:t>
      </w:r>
      <w:r>
        <w:t xml:space="preserve">over five years</w:t>
      </w:r>
      <w:r>
        <w:t xml:space="preserve"> </w:t>
      </w:r>
      <w:r>
        <w:t xml:space="preserve">(</w:t>
      </w:r>
      <w:r>
        <w:rPr>
          <w:b/>
          <w:bCs/>
        </w:rPr>
        <w:t xml:space="preserve">QLD-govt-water-2025?</w:t>
      </w:r>
      <w:r>
        <w:t xml:space="preserve">)</w:t>
      </w:r>
    </w:p>
    <w:bookmarkEnd w:id="32"/>
    <w:bookmarkStart w:id="33" w:name="X7963075ca1a18da651e79237b6f0a21e328ffb0"/>
    <w:p>
      <w:pPr>
        <w:pStyle w:val="Heading3"/>
      </w:pPr>
      <w:r>
        <w:t xml:space="preserve">Stanthorpe: A Case Study in Drought-Driven Water Costs</w:t>
      </w:r>
    </w:p>
    <w:p>
      <w:pPr>
        <w:pStyle w:val="FirstParagraph"/>
      </w:pPr>
      <w:r>
        <w:t xml:space="preserve">In January 2020, Stanthorpe became the first Queensland town to</w:t>
      </w:r>
      <w:r>
        <w:t xml:space="preserve"> </w:t>
      </w:r>
      <w:r>
        <w:rPr>
          <w:b/>
          <w:bCs/>
        </w:rPr>
        <w:t xml:space="preserve">run out of water</w:t>
      </w:r>
      <w:r>
        <w:t xml:space="preserve">. The government spent</w:t>
      </w:r>
      <w:r>
        <w:t xml:space="preserve"> </w:t>
      </w:r>
      <w:r>
        <w:rPr>
          <w:b/>
          <w:bCs/>
        </w:rPr>
        <w:t xml:space="preserve">$10–15 million</w:t>
      </w:r>
      <w:r>
        <w:t xml:space="preserve"> </w:t>
      </w:r>
      <w:r>
        <w:t xml:space="preserve">carting water by truck from Connolly Dam for over 12 months</w:t>
      </w:r>
      <w:r>
        <w:t xml:space="preserve"> </w:t>
      </w:r>
      <w:r>
        <w:t xml:space="preserve">(</w:t>
      </w:r>
      <w:r>
        <w:rPr>
          <w:b/>
          <w:bCs/>
        </w:rPr>
        <w:t xml:space="preserve">qld-govt-stanthorpe-water-2020?</w:t>
      </w:r>
      <w:r>
        <w:t xml:space="preserve">)</w:t>
      </w:r>
      <w:r>
        <w:t xml:space="preserve">. This single regional town’s emergency water costs exceeded the QRIDA grant maximum by orders of magnitude.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6" w:name="rail-infrastructure"/>
    <w:p>
      <w:pPr>
        <w:pStyle w:val="Heading2"/>
      </w:pPr>
      <w:r>
        <w:t xml:space="preserve">Rail Infrastructure</w:t>
      </w:r>
    </w:p>
    <w:bookmarkStart w:id="35" w:name="key-events"/>
    <w:p>
      <w:pPr>
        <w:pStyle w:val="Heading3"/>
      </w:pPr>
      <w:r>
        <w:t xml:space="preserve">Key Events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2010–11 Floods</w:t>
      </w:r>
      <w:r>
        <w:t xml:space="preserve">: Over</w:t>
      </w:r>
      <w:r>
        <w:t xml:space="preserve"> </w:t>
      </w:r>
      <w:r>
        <w:rPr>
          <w:b/>
          <w:bCs/>
        </w:rPr>
        <w:t xml:space="preserve">28% of the Queensland rail network</w:t>
      </w:r>
      <w:r>
        <w:t xml:space="preserve"> </w:t>
      </w:r>
      <w:r>
        <w:t xml:space="preserve">left twisted and displaced</w:t>
      </w:r>
      <w:r>
        <w:t xml:space="preserve"> </w:t>
      </w:r>
      <w:r>
        <w:t xml:space="preserve">(</w:t>
      </w:r>
      <w:r>
        <w:rPr>
          <w:b/>
          <w:bCs/>
        </w:rPr>
        <w:t xml:space="preserve">QRA-2011-floods?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TC Debbie (2017)</w:t>
      </w:r>
      <w:r>
        <w:t xml:space="preserve">: Aurizon coal rail network shut for</w:t>
      </w:r>
      <w:r>
        <w:t xml:space="preserve"> </w:t>
      </w:r>
      <w:r>
        <w:rPr>
          <w:b/>
          <w:bCs/>
        </w:rPr>
        <w:t xml:space="preserve">5 weeks</w:t>
      </w:r>
      <w:r>
        <w:t xml:space="preserve">; multiple miners declared force majeure; repair costs in the hundreds of millions</w:t>
      </w:r>
      <w:r>
        <w:t xml:space="preserve"> </w:t>
      </w:r>
      <w:r>
        <w:t xml:space="preserve">(</w:t>
      </w:r>
      <w:r>
        <w:rPr>
          <w:b/>
          <w:bCs/>
        </w:rPr>
        <w:t xml:space="preserve">aurizon-debbie-2017?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2021–22 Floods</w:t>
      </w:r>
      <w:r>
        <w:t xml:space="preserve">: QLD Rail crews repaired 4,000+ metres of track; 1,140 tonnes of rock and 2,500 tonnes of ballast</w:t>
      </w:r>
      <w:r>
        <w:t xml:space="preserve"> </w:t>
      </w:r>
      <w:r>
        <w:t xml:space="preserve">(</w:t>
      </w:r>
      <w:r>
        <w:rPr>
          <w:b/>
          <w:bCs/>
        </w:rPr>
        <w:t xml:space="preserve">QLD-rail-2022?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Ex-TC Koji (2026)</w:t>
      </w:r>
      <w:r>
        <w:t xml:space="preserve">: 56 repair sites on Mount Isa line; ~13 km track damaged</w:t>
      </w:r>
      <w:r>
        <w:t xml:space="preserve"> </w:t>
      </w:r>
      <w:r>
        <w:t xml:space="preserve">(</w:t>
      </w:r>
      <w:r>
        <w:rPr>
          <w:b/>
          <w:bCs/>
        </w:rPr>
        <w:t xml:space="preserve">QLD-rail-koji-2026?</w:t>
      </w:r>
      <w:r>
        <w:t xml:space="preserve">)</w:t>
      </w:r>
    </w:p>
    <w:p>
      <w:pPr>
        <w:pStyle w:val="FirstParagraph"/>
      </w:pPr>
      <w:r>
        <w:t xml:space="preserve">Rail costs are poorly reported publicly but are embedded in the QRA $29 billion total.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8" w:name="X12aac4c1e25429650ee67d3bba90bdc2366ac9e"/>
    <w:p>
      <w:pPr>
        <w:pStyle w:val="Heading2"/>
      </w:pPr>
      <w:r>
        <w:t xml:space="preserve">Agricultural Infrastructure (Excluding Fencing/Livestock)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tbl-ag-infra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410"/>
              <w:gridCol w:w="2754"/>
              <w:gridCol w:w="27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Losses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Yasi (2011)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$500M sugarcane; $300M agriculture; $2B agriculture+mining+local govt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swiss-re-yasi-2021?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Debbie (2017)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$450M agriculture; $150M sugar industry (35% Proserpine, 20% Mackay crop)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QRA-debbie-2017?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 SE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$250M+ primary producers (2,250+ affected)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deloitte-QRA-2022?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(2023)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$100M+ asset damage, Cairns region organisations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cairns-council-2024?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NQ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Extensive sugar milling, cane rail, chicken processing damage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QFF-2025?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4: Agricultural infrastructure and crop losses by event</w:t>
            </w:r>
          </w:p>
          <w:bookmarkEnd w:id="37"/>
        </w:tc>
      </w:tr>
    </w:tbl>
    <w:p>
      <w:pPr>
        <w:pStyle w:val="BodyText"/>
      </w:pPr>
      <w:r>
        <w:t xml:space="preserve">: Source: QRA, Deloitte, Swiss Re, ICA reports.</w:t>
      </w:r>
    </w:p>
    <w:p>
      <w:pPr>
        <w:pStyle w:val="BodyText"/>
      </w:pPr>
      <w:r>
        <w:t xml:space="preserve">Key infrastructure types repeatedly damaged: irrigation systems, farm buildings/sheds, sugar milling and cane rail, horticultural structures, grain storage, chicken processing plants.</w:t>
      </w:r>
    </w:p>
    <w:p>
      <w:r>
        <w:pict>
          <v:rect style="width:0;height:1.5pt" o:hralign="center" o:hrstd="t" o:hr="t"/>
        </w:pict>
      </w:r>
    </w:p>
    <w:bookmarkEnd w:id="38"/>
    <w:bookmarkStart w:id="45" w:name="X06c8d61cde65d1d78f754b99dcbc50312977bf1"/>
    <w:p>
      <w:pPr>
        <w:pStyle w:val="Heading2"/>
      </w:pPr>
      <w:r>
        <w:t xml:space="preserve">Insurance Premium Trends and Affordability Crisis</w:t>
      </w:r>
    </w:p>
    <w:bookmarkStart w:id="40" w:name="current-premium-levels"/>
    <w:p>
      <w:pPr>
        <w:pStyle w:val="Heading3"/>
      </w:pPr>
      <w:r>
        <w:t xml:space="preserve">Current Premium Levels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tbl-premium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195"/>
              <w:gridCol w:w="4632"/>
              <w:gridCol w:w="896"/>
              <w:gridCol w:w="119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Region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Average Home Insurance Premium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Queensland (average)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$3,853</w:t>
                  </w:r>
                  <w:r>
                    <w:t xml:space="preserve"> </w:t>
                  </w:r>
                  <w:r>
                    <w:t xml:space="preserve">(quotes)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choice-insurance-2025?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North Queensland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$2,918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2022–23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ACCC-insurance-2023?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Rest of Australia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$1,779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2022–23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ACCC-insurance-2023?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National average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$2,795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insurance-business-2025?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5: Home insurance premium comparison, Queensland vs rest of Australia</w:t>
            </w:r>
          </w:p>
          <w:bookmarkEnd w:id="39"/>
        </w:tc>
      </w:tr>
    </w:tbl>
    <w:p>
      <w:pPr>
        <w:pStyle w:val="BodyText"/>
      </w:pPr>
      <w:r>
        <w:t xml:space="preserve">: Source: CHOICE, ACCC Insurance Monitoring Report, insurance industry data.</w:t>
      </w:r>
    </w:p>
    <w:bookmarkEnd w:id="40"/>
    <w:bookmarkStart w:id="41" w:name="premium-growth"/>
    <w:p>
      <w:pPr>
        <w:pStyle w:val="Heading3"/>
      </w:pPr>
      <w:r>
        <w:t xml:space="preserve">Premium Growth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National 5-year increase</w:t>
      </w:r>
      <w:r>
        <w:t xml:space="preserve">: Average home insurance rose</w:t>
      </w:r>
      <w:r>
        <w:t xml:space="preserve"> </w:t>
      </w:r>
      <w:r>
        <w:rPr>
          <w:b/>
          <w:bCs/>
        </w:rPr>
        <w:t xml:space="preserve">51%</w:t>
      </w:r>
      <w:r>
        <w:t xml:space="preserve"> </w:t>
      </w:r>
      <w:r>
        <w:t xml:space="preserve">from $1,940 (2020) to $2,938 (Oct 2025)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australia-institute-premium-2024?</w:t>
      </w:r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Queensland</w:t>
      </w:r>
      <w:r>
        <w:t xml:space="preserve">: Most expensive state; quotes risen</w:t>
      </w:r>
      <w:r>
        <w:t xml:space="preserve"> </w:t>
      </w:r>
      <w:r>
        <w:rPr>
          <w:b/>
          <w:bCs/>
        </w:rPr>
        <w:t xml:space="preserve">66%</w:t>
      </w:r>
      <w:r>
        <w:t xml:space="preserve"> </w:t>
      </w:r>
      <w:r>
        <w:t xml:space="preserve">to average $3,853</w:t>
      </w:r>
      <w:r>
        <w:t xml:space="preserve"> </w:t>
      </w:r>
      <w:r>
        <w:t xml:space="preserve">(</w:t>
      </w:r>
      <w:r>
        <w:rPr>
          <w:b/>
          <w:bCs/>
        </w:rPr>
        <w:t xml:space="preserve">choice-insurance-2025?</w:t>
      </w:r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Highest-risk strata (NQ)</w:t>
      </w:r>
      <w:r>
        <w:t xml:space="preserve">: Median strata premiums &gt;$4M sum insured:</w:t>
      </w:r>
      <w:r>
        <w:t xml:space="preserve"> </w:t>
      </w:r>
      <w:r>
        <w:rPr>
          <w:b/>
          <w:bCs/>
        </w:rPr>
        <w:t xml:space="preserve">$33,118</w:t>
      </w:r>
      <w:r>
        <w:t xml:space="preserve"> </w:t>
      </w:r>
      <w:r>
        <w:t xml:space="preserve">— over 3x rest-of-Australia median</w:t>
      </w:r>
      <w:r>
        <w:t xml:space="preserve"> </w:t>
      </w:r>
      <w:r>
        <w:t xml:space="preserve">(</w:t>
      </w:r>
      <w:r>
        <w:rPr>
          <w:b/>
          <w:bCs/>
        </w:rPr>
        <w:t xml:space="preserve">ACCC-insurance-2023?</w:t>
      </w:r>
      <w:r>
        <w:t xml:space="preserve">)</w:t>
      </w:r>
    </w:p>
    <w:p>
      <w:pPr>
        <w:pStyle w:val="Compact"/>
        <w:numPr>
          <w:ilvl w:val="0"/>
          <w:numId w:val="1006"/>
        </w:numPr>
      </w:pPr>
      <w:r>
        <w:t xml:space="preserve">Household insurance costs climbing at</w:t>
      </w:r>
      <w:r>
        <w:t xml:space="preserve"> </w:t>
      </w:r>
      <w:r>
        <w:rPr>
          <w:b/>
          <w:bCs/>
        </w:rPr>
        <w:t xml:space="preserve">fastest pace in 22 years</w:t>
      </w:r>
      <w:r>
        <w:t xml:space="preserve"> </w:t>
      </w:r>
      <w:r>
        <w:t xml:space="preserve">(as of 2024)</w:t>
      </w:r>
      <w:r>
        <w:t xml:space="preserve"> </w:t>
      </w:r>
      <w:r>
        <w:t xml:space="preserve">(</w:t>
      </w:r>
      <w:r>
        <w:rPr>
          <w:b/>
          <w:bCs/>
        </w:rPr>
        <w:t xml:space="preserve">insurance-news-2024?</w:t>
      </w:r>
      <w:r>
        <w:t xml:space="preserve">)</w:t>
      </w:r>
    </w:p>
    <w:bookmarkEnd w:id="41"/>
    <w:bookmarkStart w:id="42" w:name="X49b13c5f17d6d949ced4be08acd205fbe44f621"/>
    <w:p>
      <w:pPr>
        <w:pStyle w:val="Heading3"/>
      </w:pPr>
      <w:r>
        <w:t xml:space="preserve">ACCC Northern Australia Insurance Inquiry (2020)</w:t>
      </w:r>
    </w:p>
    <w:p>
      <w:pPr>
        <w:pStyle w:val="FirstParagraph"/>
      </w:pPr>
      <w:r>
        <w:t xml:space="preserve">Key findings from the three-year inquiry</w:t>
      </w:r>
      <w:r>
        <w:t xml:space="preserve"> </w:t>
      </w:r>
      <w:r>
        <w:t xml:space="preserve">(</w:t>
      </w:r>
      <w:r>
        <w:rPr>
          <w:b/>
          <w:bCs/>
        </w:rPr>
        <w:t xml:space="preserve">ACCC-northern-australia-2020?</w:t>
      </w:r>
      <w:r>
        <w:t xml:space="preserve">)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t xml:space="preserve">Premiums</w:t>
      </w:r>
      <w:r>
        <w:t xml:space="preserve"> </w:t>
      </w:r>
      <w:r>
        <w:rPr>
          <w:b/>
          <w:bCs/>
        </w:rPr>
        <w:t xml:space="preserve">considerably higher</w:t>
      </w:r>
      <w:r>
        <w:t xml:space="preserve"> </w:t>
      </w:r>
      <w:r>
        <w:t xml:space="preserve">in northern Australia</w:t>
      </w:r>
    </w:p>
    <w:p>
      <w:pPr>
        <w:pStyle w:val="Compact"/>
        <w:numPr>
          <w:ilvl w:val="0"/>
          <w:numId w:val="1007"/>
        </w:numPr>
      </w:pPr>
      <w:r>
        <w:t xml:space="preserve">Premiums have</w:t>
      </w:r>
      <w:r>
        <w:t xml:space="preserve"> </w:t>
      </w:r>
      <w:r>
        <w:rPr>
          <w:b/>
          <w:bCs/>
        </w:rPr>
        <w:t xml:space="preserve">increased at a faster rate</w:t>
      </w:r>
      <w:r>
        <w:t xml:space="preserve"> </w:t>
      </w:r>
      <w:r>
        <w:t xml:space="preserve">than the national average over the past decade</w:t>
      </w:r>
    </w:p>
    <w:p>
      <w:pPr>
        <w:pStyle w:val="Compact"/>
        <w:numPr>
          <w:ilvl w:val="0"/>
          <w:numId w:val="1007"/>
        </w:numPr>
      </w:pPr>
      <w:r>
        <w:t xml:space="preserve">Approximately</w:t>
      </w:r>
      <w:r>
        <w:t xml:space="preserve"> </w:t>
      </w:r>
      <w:r>
        <w:rPr>
          <w:b/>
          <w:bCs/>
        </w:rPr>
        <w:t xml:space="preserve">20% of homes in northern Australia are uninsured</w:t>
      </w:r>
      <w:r>
        <w:t xml:space="preserve"> </w:t>
      </w:r>
      <w:r>
        <w:t xml:space="preserve">— nearly double the national rate</w:t>
      </w:r>
    </w:p>
    <w:p>
      <w:pPr>
        <w:pStyle w:val="Compact"/>
        <w:numPr>
          <w:ilvl w:val="0"/>
          <w:numId w:val="1007"/>
        </w:numPr>
      </w:pPr>
      <w:r>
        <w:t xml:space="preserve">Low-income and disadvantaged households are</w:t>
      </w:r>
      <w:r>
        <w:t xml:space="preserve"> </w:t>
      </w:r>
      <w:r>
        <w:rPr>
          <w:b/>
          <w:bCs/>
        </w:rPr>
        <w:t xml:space="preserve">over-represented</w:t>
      </w:r>
      <w:r>
        <w:t xml:space="preserve"> </w:t>
      </w:r>
      <w:r>
        <w:t xml:space="preserve">in high-risk locations</w:t>
      </w:r>
    </w:p>
    <w:p>
      <w:pPr>
        <w:pStyle w:val="Compact"/>
        <w:numPr>
          <w:ilvl w:val="0"/>
          <w:numId w:val="1007"/>
        </w:numPr>
      </w:pPr>
      <w:r>
        <w:t xml:space="preserve">38 recommendations made to improve affordability</w:t>
      </w:r>
    </w:p>
    <w:bookmarkEnd w:id="42"/>
    <w:bookmarkStart w:id="43" w:name="Xe84631c1b2a859b70a2d2c7278a76b13c4df043"/>
    <w:p>
      <w:pPr>
        <w:pStyle w:val="Heading3"/>
      </w:pPr>
      <w:r>
        <w:t xml:space="preserve">Cyclone Reinsurance Pool (ARPC) — Established 2022</w:t>
      </w:r>
    </w:p>
    <w:p>
      <w:pPr>
        <w:pStyle w:val="FirstParagraph"/>
      </w:pPr>
      <w:r>
        <w:t xml:space="preserve">The Commonwealth cyclone reinsurance pool</w:t>
      </w:r>
      <w:r>
        <w:t xml:space="preserve"> </w:t>
      </w:r>
      <w:r>
        <w:t xml:space="preserve">(</w:t>
      </w:r>
      <w:r>
        <w:rPr>
          <w:b/>
          <w:bCs/>
        </w:rPr>
        <w:t xml:space="preserve">ARPC-cyclone-pool-2022?</w:t>
      </w:r>
      <w:r>
        <w:t xml:space="preserve">)</w:t>
      </w:r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Home+contents premiums in medium-to-high risk areas</w:t>
      </w:r>
      <w:r>
        <w:t xml:space="preserve"> </w:t>
      </w:r>
      <w:r>
        <w:rPr>
          <w:b/>
          <w:bCs/>
        </w:rPr>
        <w:t xml:space="preserve">decreased 11%</w:t>
      </w:r>
      <w:r>
        <w:t xml:space="preserve"> </w:t>
      </w:r>
      <w:r>
        <w:t xml:space="preserve">after pool took effect</w:t>
      </w:r>
    </w:p>
    <w:p>
      <w:pPr>
        <w:pStyle w:val="Compact"/>
        <w:numPr>
          <w:ilvl w:val="0"/>
          <w:numId w:val="1008"/>
        </w:numPr>
      </w:pPr>
      <w:r>
        <w:t xml:space="preserve">Small business premiums in high-risk areas</w:t>
      </w:r>
      <w:r>
        <w:t xml:space="preserve"> </w:t>
      </w:r>
      <w:r>
        <w:rPr>
          <w:b/>
          <w:bCs/>
        </w:rPr>
        <w:t xml:space="preserve">decreased 24%</w:t>
      </w:r>
    </w:p>
    <w:p>
      <w:pPr>
        <w:pStyle w:val="Compact"/>
        <w:numPr>
          <w:ilvl w:val="0"/>
          <w:numId w:val="1008"/>
        </w:numPr>
      </w:pPr>
      <w:r>
        <w:t xml:space="preserve">Largest reductions in</w:t>
      </w:r>
      <w:r>
        <w:t xml:space="preserve"> </w:t>
      </w:r>
      <w:r>
        <w:rPr>
          <w:b/>
          <w:bCs/>
        </w:rPr>
        <w:t xml:space="preserve">Mackay, Cairns, Townsville</w:t>
      </w:r>
      <w:r>
        <w:t xml:space="preserve"> </w:t>
      </w:r>
      <w:r>
        <w:t xml:space="preserve">(~15% median reduction)</w:t>
      </w:r>
    </w:p>
    <w:p>
      <w:pPr>
        <w:pStyle w:val="Compact"/>
        <w:numPr>
          <w:ilvl w:val="0"/>
          <w:numId w:val="1008"/>
        </w:numPr>
      </w:pPr>
      <w:r>
        <w:t xml:space="preserve">ARPC holds a</w:t>
      </w:r>
      <w:r>
        <w:t xml:space="preserve"> </w:t>
      </w:r>
      <w:r>
        <w:rPr>
          <w:b/>
          <w:bCs/>
        </w:rPr>
        <w:t xml:space="preserve">$10 billion reserve</w:t>
      </w:r>
    </w:p>
    <w:p>
      <w:pPr>
        <w:pStyle w:val="Compact"/>
        <w:numPr>
          <w:ilvl w:val="0"/>
          <w:numId w:val="1008"/>
        </w:numPr>
      </w:pPr>
      <w:r>
        <w:t xml:space="preserve">However, premiums</w:t>
      </w:r>
      <w:r>
        <w:t xml:space="preserve"> </w:t>
      </w:r>
      <w:r>
        <w:rPr>
          <w:b/>
          <w:bCs/>
        </w:rPr>
        <w:t xml:space="preserve">remain very high</w:t>
      </w:r>
      <w:r>
        <w:t xml:space="preserve"> </w:t>
      </w:r>
      <w:r>
        <w:t xml:space="preserve">and are</w:t>
      </w:r>
      <w:r>
        <w:t xml:space="preserve"> </w:t>
      </w:r>
      <w:r>
        <w:rPr>
          <w:b/>
          <w:bCs/>
        </w:rPr>
        <w:t xml:space="preserve">generally rising</w:t>
      </w:r>
      <w:r>
        <w:t xml:space="preserve"> </w:t>
      </w:r>
      <w:r>
        <w:t xml:space="preserve">across most of the country</w:t>
      </w:r>
    </w:p>
    <w:bookmarkEnd w:id="43"/>
    <w:bookmarkStart w:id="44" w:name="X6b7f4c5ac95dbccdbe3f4e1d05b581946792de5"/>
    <w:p>
      <w:pPr>
        <w:pStyle w:val="Heading3"/>
      </w:pPr>
      <w:r>
        <w:t xml:space="preserve">Affordability Crisis (Actuaries Institute 2024)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1.61 million households</w:t>
      </w:r>
      <w:r>
        <w:t xml:space="preserve"> </w:t>
      </w:r>
      <w:r>
        <w:t xml:space="preserve">(15%) in home insurance affordability stress (paying &gt;4 weeks gross income), up from 12% in 2023 and 10% in 2022</w:t>
      </w:r>
      <w:r>
        <w:t xml:space="preserve"> </w:t>
      </w:r>
      <w:r>
        <w:t xml:space="preserve">(</w:t>
      </w:r>
      <w:r>
        <w:rPr>
          <w:b/>
          <w:bCs/>
        </w:rPr>
        <w:t xml:space="preserve">actuaries-institute-2024?</w:t>
      </w:r>
      <w:r>
        <w:t xml:space="preserve">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1.4 million homes</w:t>
      </w:r>
      <w:r>
        <w:t xml:space="preserve"> </w:t>
      </w:r>
      <w:r>
        <w:t xml:space="preserve">either uninsured or under-insured nationally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australia-institute-2025?</w:t>
      </w:r>
      <w:r>
        <w:t xml:space="preserve">)</w:t>
      </w:r>
    </w:p>
    <w:p>
      <w:pPr>
        <w:pStyle w:val="Compact"/>
        <w:numPr>
          <w:ilvl w:val="0"/>
          <w:numId w:val="1009"/>
        </w:numPr>
      </w:pPr>
      <w:r>
        <w:t xml:space="preserve">Highest-risk properties (flood-prone): premiums up</w:t>
      </w:r>
      <w:r>
        <w:t xml:space="preserve"> </w:t>
      </w:r>
      <w:r>
        <w:rPr>
          <w:b/>
          <w:bCs/>
        </w:rPr>
        <w:t xml:space="preserve">50%</w:t>
      </w:r>
      <w:r>
        <w:t xml:space="preserve"> </w:t>
      </w:r>
      <w:r>
        <w:t xml:space="preserve">in one year to March 2024</w:t>
      </w:r>
      <w:r>
        <w:t xml:space="preserve"> </w:t>
      </w:r>
      <w:r>
        <w:t xml:space="preserve">(</w:t>
      </w:r>
      <w:r>
        <w:rPr>
          <w:b/>
          <w:bCs/>
        </w:rPr>
        <w:t xml:space="preserve">actuaries-institute-2024?</w:t>
      </w:r>
      <w:r>
        <w:t xml:space="preserve">)</w:t>
      </w:r>
    </w:p>
    <w:p>
      <w:pPr>
        <w:pStyle w:val="Compact"/>
        <w:numPr>
          <w:ilvl w:val="0"/>
          <w:numId w:val="1009"/>
        </w:numPr>
      </w:pPr>
      <w:r>
        <w:t xml:space="preserve">Under high emissions (&gt;3°C by 2100), affordability pressure expected to increase by</w:t>
      </w:r>
      <w:r>
        <w:t xml:space="preserve"> </w:t>
      </w:r>
      <w:r>
        <w:rPr>
          <w:b/>
          <w:bCs/>
        </w:rPr>
        <w:t xml:space="preserve">20%</w:t>
      </w:r>
      <w:r>
        <w:t xml:space="preserve"> </w:t>
      </w:r>
      <w:r>
        <w:t xml:space="preserve">for vulnerable households</w:t>
      </w:r>
    </w:p>
    <w:p>
      <w:pPr>
        <w:pStyle w:val="Compact"/>
        <w:numPr>
          <w:ilvl w:val="0"/>
          <w:numId w:val="1009"/>
        </w:numPr>
      </w:pPr>
      <w:r>
        <w:t xml:space="preserve">Insurers</w:t>
      </w:r>
      <w:r>
        <w:t xml:space="preserve"> </w:t>
      </w:r>
      <w:r>
        <w:rPr>
          <w:b/>
          <w:bCs/>
        </w:rPr>
        <w:t xml:space="preserve">beginning to withdraw</w:t>
      </w:r>
      <w:r>
        <w:t xml:space="preserve"> </w:t>
      </w:r>
      <w:r>
        <w:t xml:space="preserve">from cyclone-prone QLD regions</w:t>
      </w:r>
      <w:r>
        <w:t xml:space="preserve"> </w:t>
      </w:r>
      <w:r>
        <w:t xml:space="preserve">(</w:t>
      </w:r>
      <w:r>
        <w:rPr>
          <w:b/>
          <w:bCs/>
        </w:rPr>
        <w:t xml:space="preserve">climate-resilience-center-2025?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se-qld-floods-cost-breakdown-deloitte"/>
    <w:p>
      <w:pPr>
        <w:pStyle w:val="Heading2"/>
      </w:pPr>
      <w:r>
        <w:t xml:space="preserve">2022 SE QLD Floods — Cost Breakdown (Deloitte)</w:t>
      </w:r>
    </w:p>
    <w:p>
      <w:pPr>
        <w:pStyle w:val="FirstParagraph"/>
      </w:pPr>
      <w:r>
        <w:t xml:space="preserve">The most detailed per-event cost breakdown available</w:t>
      </w:r>
      <w:r>
        <w:t xml:space="preserve"> </w:t>
      </w:r>
      <w:r>
        <w:t xml:space="preserve">(</w:t>
      </w:r>
      <w:r>
        <w:rPr>
          <w:b/>
          <w:bCs/>
        </w:rPr>
        <w:t xml:space="preserve">deloitte-QRA-2022?</w:t>
      </w:r>
      <w:r>
        <w:t xml:space="preserve">)</w:t>
      </w:r>
      <w:r>
        <w:t xml:space="preserve">:</w:t>
      </w:r>
    </w:p>
    <w:p>
      <w:pPr>
        <w:pStyle w:val="TableCaption"/>
      </w:pPr>
      <w:r>
        <w:t xml:space="preserve">Source: Deloitte Access Economics report commissioned by QRA</w:t>
      </w:r>
      <w:r>
        <w:t xml:space="preserve"> </w:t>
      </w:r>
      <w:r>
        <w:t xml:space="preserve">(</w:t>
      </w:r>
      <w:r>
        <w:rPr>
          <w:b/>
          <w:bCs/>
        </w:rPr>
        <w:t xml:space="preserve">deloitte-QRA-2022?</w:t>
      </w:r>
      <w:r>
        <w:t xml:space="preserve">)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Source: Deloitte Access Economics report commissioned by QRA (deloitte-QRA-2022?)."/>
      </w:tblPr>
      <w:tblGrid>
        <w:gridCol w:w="3300"/>
        <w:gridCol w:w="198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Homes and commercial businesses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$2 billion</w:t>
            </w:r>
          </w:p>
        </w:tc>
        <w:tc>
          <w:tcPr/>
          <w:p>
            <w:pPr>
              <w:pStyle w:val="Compact"/>
            </w:pPr>
            <w:r>
              <w:t xml:space="preserve">~18,000 properties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Small businesses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$324 million</w:t>
            </w:r>
          </w:p>
        </w:tc>
        <w:tc>
          <w:tcPr/>
          <w:p>
            <w:pPr>
              <w:pStyle w:val="Compact"/>
            </w:pPr>
            <w:r>
              <w:t xml:space="preserve">&gt;4,500 businesses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 producers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$250 million</w:t>
            </w:r>
          </w:p>
        </w:tc>
        <w:tc>
          <w:tcPr/>
          <w:p>
            <w:pPr>
              <w:pStyle w:val="Compact"/>
            </w:pPr>
            <w:r>
              <w:t xml:space="preserve">&gt;2,250 producers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Social and human costs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$4.5 billion</w:t>
            </w:r>
          </w:p>
        </w:tc>
        <w:tc>
          <w:tcPr/>
          <w:p>
            <w:pPr>
              <w:pStyle w:val="Compact"/>
            </w:pPr>
            <w:r>
              <w:t xml:space="preserve">500,000+ people affected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Public infrastructure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$492 million</w:t>
            </w:r>
          </w:p>
        </w:tc>
        <w:tc>
          <w:tcPr/>
          <w:p>
            <w:pPr>
              <w:pStyle w:val="Compact"/>
            </w:pPr>
            <w:r>
              <w:t xml:space="preserve">Roads, bridges, community facilities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$7.7 billion</w:t>
            </w:r>
          </w:p>
        </w:tc>
        <w:tc>
          <w:tcPr/>
          <w:p>
            <w:pPr>
              <w:pStyle w:val="Compact"/>
            </w:pPr>
            <w:r>
              <w:t xml:space="preserve">QLD only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Start w:id="47" w:name="data-gaps"/>
    <w:p>
      <w:pPr>
        <w:pStyle w:val="Heading2"/>
      </w:pPr>
      <w:r>
        <w:t xml:space="preserve">Data Gaps</w:t>
      </w:r>
    </w:p>
    <w:p>
      <w:pPr>
        <w:pStyle w:val="FirstParagraph"/>
      </w:pPr>
      <w:r>
        <w:t xml:space="preserve">The most significant data gap is the lack of publicly available</w:t>
      </w:r>
      <w:r>
        <w:t xml:space="preserve"> </w:t>
      </w:r>
      <w:r>
        <w:rPr>
          <w:b/>
          <w:bCs/>
        </w:rPr>
        <w:t xml:space="preserve">per-event cost breakdowns</w:t>
      </w:r>
      <w:r>
        <w:t xml:space="preserve"> </w:t>
      </w:r>
      <w:r>
        <w:t xml:space="preserve">for:</w:t>
      </w:r>
    </w:p>
    <w:p>
      <w:pPr>
        <w:pStyle w:val="Compact"/>
        <w:numPr>
          <w:ilvl w:val="0"/>
          <w:numId w:val="1010"/>
        </w:numPr>
      </w:pPr>
      <w:r>
        <w:t xml:space="preserve">Power infrastructure (Ergon/Energex total restoration costs, not just AER pass-throughs)</w:t>
      </w:r>
    </w:p>
    <w:p>
      <w:pPr>
        <w:pStyle w:val="Compact"/>
        <w:numPr>
          <w:ilvl w:val="0"/>
          <w:numId w:val="1010"/>
        </w:numPr>
      </w:pPr>
      <w:r>
        <w:t xml:space="preserve">Water/sewerage infrastructure repair</w:t>
      </w:r>
    </w:p>
    <w:p>
      <w:pPr>
        <w:pStyle w:val="Compact"/>
        <w:numPr>
          <w:ilvl w:val="0"/>
          <w:numId w:val="1010"/>
        </w:numPr>
      </w:pPr>
      <w:r>
        <w:t xml:space="preserve">Rail infrastructure (Queensland Rail and Aurizon coal network)</w:t>
      </w:r>
    </w:p>
    <w:p>
      <w:pPr>
        <w:pStyle w:val="Compact"/>
        <w:numPr>
          <w:ilvl w:val="0"/>
          <w:numId w:val="1010"/>
        </w:numPr>
      </w:pPr>
      <w:r>
        <w:t xml:space="preserve">Telecommunications (Telstra/NBN Co)</w:t>
      </w:r>
    </w:p>
    <w:p>
      <w:pPr>
        <w:pStyle w:val="FirstParagraph"/>
      </w:pPr>
      <w:r>
        <w:t xml:space="preserve">These costs are embedded within the QRA $29 billion total and within regulated utility allowances, but are rarely reported separately.</w:t>
      </w:r>
    </w:p>
    <w:p>
      <w:r>
        <w:pict>
          <v:rect style="width:0;height:1.5pt" o:hralign="center" o:hrstd="t" o:hr="t"/>
        </w:pict>
      </w:r>
    </w:p>
    <w:bookmarkEnd w:id="47"/>
    <w:bookmarkStart w:id="79" w:name="references"/>
    <w:p>
      <w:pPr>
        <w:pStyle w:val="Heading2"/>
      </w:pPr>
      <w:r>
        <w:t xml:space="preserve">References</w:t>
      </w:r>
    </w:p>
    <w:bookmarkStart w:id="58" w:name="government-regulatory"/>
    <w:p>
      <w:pPr>
        <w:pStyle w:val="Heading3"/>
      </w:pPr>
      <w:r>
        <w:t xml:space="preserve">Government / Regulatory</w:t>
      </w:r>
    </w:p>
    <w:p>
      <w:pPr>
        <w:pStyle w:val="Compact"/>
        <w:numPr>
          <w:ilvl w:val="0"/>
          <w:numId w:val="1011"/>
        </w:numPr>
      </w:pPr>
      <w:hyperlink r:id="rId48">
        <w:r>
          <w:rPr>
            <w:rStyle w:val="Hyperlink"/>
          </w:rPr>
          <w:t xml:space="preserve">QRA Annual Report 2024–25</w:t>
        </w:r>
      </w:hyperlink>
    </w:p>
    <w:p>
      <w:pPr>
        <w:pStyle w:val="Compact"/>
        <w:numPr>
          <w:ilvl w:val="0"/>
          <w:numId w:val="1011"/>
        </w:numPr>
      </w:pPr>
      <w:hyperlink r:id="rId49">
        <w:r>
          <w:rPr>
            <w:rStyle w:val="Hyperlink"/>
          </w:rPr>
          <w:t xml:space="preserve">AER — Energy QLD Cost Pass-Throughs</w:t>
        </w:r>
      </w:hyperlink>
    </w:p>
    <w:p>
      <w:pPr>
        <w:pStyle w:val="Compact"/>
        <w:numPr>
          <w:ilvl w:val="0"/>
          <w:numId w:val="1011"/>
        </w:numPr>
      </w:pPr>
      <w:hyperlink r:id="rId50">
        <w:r>
          <w:rPr>
            <w:rStyle w:val="Hyperlink"/>
          </w:rPr>
          <w:t xml:space="preserve">ACCC Northern Australia Insurance Inquiry (2020)</w:t>
        </w:r>
      </w:hyperlink>
    </w:p>
    <w:p>
      <w:pPr>
        <w:pStyle w:val="Compact"/>
        <w:numPr>
          <w:ilvl w:val="0"/>
          <w:numId w:val="1011"/>
        </w:numPr>
      </w:pPr>
      <w:hyperlink r:id="rId51">
        <w:r>
          <w:rPr>
            <w:rStyle w:val="Hyperlink"/>
          </w:rPr>
          <w:t xml:space="preserve">ACCC Insurance Monitoring Report (2023)</w:t>
        </w:r>
      </w:hyperlink>
    </w:p>
    <w:p>
      <w:pPr>
        <w:pStyle w:val="Compact"/>
        <w:numPr>
          <w:ilvl w:val="0"/>
          <w:numId w:val="1011"/>
        </w:numPr>
      </w:pPr>
      <w:hyperlink r:id="rId52">
        <w:r>
          <w:rPr>
            <w:rStyle w:val="Hyperlink"/>
          </w:rPr>
          <w:t xml:space="preserve">Australian Reinsurance Pool Corporation — Cyclone Pool</w:t>
        </w:r>
      </w:hyperlink>
    </w:p>
    <w:p>
      <w:pPr>
        <w:pStyle w:val="Compact"/>
        <w:numPr>
          <w:ilvl w:val="0"/>
          <w:numId w:val="1011"/>
        </w:numPr>
      </w:pPr>
      <w:hyperlink r:id="rId53">
        <w:r>
          <w:rPr>
            <w:rStyle w:val="Hyperlink"/>
          </w:rPr>
          <w:t xml:space="preserve">Deloitte — 2022 SE QLD Floods ($7.7B)</w:t>
        </w:r>
      </w:hyperlink>
    </w:p>
    <w:p>
      <w:pPr>
        <w:pStyle w:val="Compact"/>
        <w:numPr>
          <w:ilvl w:val="0"/>
          <w:numId w:val="1011"/>
        </w:numPr>
      </w:pPr>
      <w:hyperlink r:id="rId54">
        <w:r>
          <w:rPr>
            <w:rStyle w:val="Hyperlink"/>
          </w:rPr>
          <w:t xml:space="preserve">QLD Government — Stanthorpe Water</w:t>
        </w:r>
      </w:hyperlink>
    </w:p>
    <w:p>
      <w:pPr>
        <w:pStyle w:val="Compact"/>
        <w:numPr>
          <w:ilvl w:val="0"/>
          <w:numId w:val="1011"/>
        </w:numPr>
      </w:pPr>
      <w:hyperlink r:id="rId55">
        <w:r>
          <w:rPr>
            <w:rStyle w:val="Hyperlink"/>
          </w:rPr>
          <w:t xml:space="preserve">QLD Government — Water Security Program</w:t>
        </w:r>
      </w:hyperlink>
    </w:p>
    <w:p>
      <w:pPr>
        <w:pStyle w:val="Compact"/>
        <w:numPr>
          <w:ilvl w:val="0"/>
          <w:numId w:val="1011"/>
        </w:numPr>
      </w:pPr>
      <w:hyperlink r:id="rId56">
        <w:r>
          <w:rPr>
            <w:rStyle w:val="Hyperlink"/>
          </w:rPr>
          <w:t xml:space="preserve">Seqwater — New Desalination Plant Investigation</w:t>
        </w:r>
      </w:hyperlink>
    </w:p>
    <w:p>
      <w:pPr>
        <w:pStyle w:val="Compact"/>
        <w:numPr>
          <w:ilvl w:val="0"/>
          <w:numId w:val="1011"/>
        </w:numPr>
      </w:pPr>
      <w:hyperlink r:id="rId57">
        <w:r>
          <w:rPr>
            <w:rStyle w:val="Hyperlink"/>
          </w:rPr>
          <w:t xml:space="preserve">Australian Federal Budget 2025–26 — Recovery and Rebuild</w:t>
        </w:r>
      </w:hyperlink>
    </w:p>
    <w:bookmarkEnd w:id="58"/>
    <w:bookmarkStart w:id="64" w:name="insurance-industry"/>
    <w:p>
      <w:pPr>
        <w:pStyle w:val="Heading3"/>
      </w:pPr>
      <w:r>
        <w:t xml:space="preserve">Insurance Industry</w:t>
      </w:r>
    </w:p>
    <w:p>
      <w:pPr>
        <w:pStyle w:val="Compact"/>
        <w:numPr>
          <w:ilvl w:val="0"/>
          <w:numId w:val="1012"/>
        </w:numPr>
      </w:pPr>
      <w:hyperlink r:id="rId59">
        <w:r>
          <w:rPr>
            <w:rStyle w:val="Hyperlink"/>
          </w:rPr>
          <w:t xml:space="preserve">ICA — Extreme Weather Cost $3.5B in 2025</w:t>
        </w:r>
      </w:hyperlink>
    </w:p>
    <w:p>
      <w:pPr>
        <w:pStyle w:val="Compact"/>
        <w:numPr>
          <w:ilvl w:val="0"/>
          <w:numId w:val="1012"/>
        </w:numPr>
      </w:pPr>
      <w:hyperlink r:id="rId60">
        <w:r>
          <w:rPr>
            <w:rStyle w:val="Hyperlink"/>
          </w:rPr>
          <w:t xml:space="preserve">ICA — 2022 Flood Costliest Ever</w:t>
        </w:r>
      </w:hyperlink>
    </w:p>
    <w:p>
      <w:pPr>
        <w:pStyle w:val="Compact"/>
        <w:numPr>
          <w:ilvl w:val="0"/>
          <w:numId w:val="1012"/>
        </w:numPr>
      </w:pPr>
      <w:hyperlink r:id="rId61">
        <w:r>
          <w:rPr>
            <w:rStyle w:val="Hyperlink"/>
          </w:rPr>
          <w:t xml:space="preserve">ICA — Current Catastrophes</w:t>
        </w:r>
      </w:hyperlink>
    </w:p>
    <w:p>
      <w:pPr>
        <w:pStyle w:val="Compact"/>
        <w:numPr>
          <w:ilvl w:val="0"/>
          <w:numId w:val="1012"/>
        </w:numPr>
      </w:pPr>
      <w:hyperlink r:id="rId62">
        <w:r>
          <w:rPr>
            <w:rStyle w:val="Hyperlink"/>
          </w:rPr>
          <w:t xml:space="preserve">Actuaries Institute — Home Insurance Affordability (2024)</w:t>
        </w:r>
      </w:hyperlink>
    </w:p>
    <w:p>
      <w:pPr>
        <w:pStyle w:val="Compact"/>
        <w:numPr>
          <w:ilvl w:val="0"/>
          <w:numId w:val="1012"/>
        </w:numPr>
      </w:pPr>
      <w:hyperlink r:id="rId63">
        <w:r>
          <w:rPr>
            <w:rStyle w:val="Hyperlink"/>
          </w:rPr>
          <w:t xml:space="preserve">CHOICE — Insurance Premiums 2025</w:t>
        </w:r>
      </w:hyperlink>
    </w:p>
    <w:bookmarkEnd w:id="64"/>
    <w:bookmarkStart w:id="72" w:name="research-analysis"/>
    <w:p>
      <w:pPr>
        <w:pStyle w:val="Heading3"/>
      </w:pPr>
      <w:r>
        <w:t xml:space="preserve">Research / Analysis</w:t>
      </w:r>
    </w:p>
    <w:p>
      <w:pPr>
        <w:pStyle w:val="Compact"/>
        <w:numPr>
          <w:ilvl w:val="0"/>
          <w:numId w:val="1013"/>
        </w:numPr>
      </w:pPr>
      <w:hyperlink r:id="rId65">
        <w:r>
          <w:rPr>
            <w:rStyle w:val="Hyperlink"/>
          </w:rPr>
          <w:t xml:space="preserve">Deloitte / IAG — Natural Disasters $73B/year by 2060</w:t>
        </w:r>
      </w:hyperlink>
    </w:p>
    <w:p>
      <w:pPr>
        <w:pStyle w:val="Compact"/>
        <w:numPr>
          <w:ilvl w:val="0"/>
          <w:numId w:val="1013"/>
        </w:numPr>
      </w:pPr>
      <w:hyperlink r:id="rId66">
        <w:r>
          <w:rPr>
            <w:rStyle w:val="Hyperlink"/>
          </w:rPr>
          <w:t xml:space="preserve">Climate Council — The Great Deluge</w:t>
        </w:r>
      </w:hyperlink>
    </w:p>
    <w:p>
      <w:pPr>
        <w:pStyle w:val="Compact"/>
        <w:numPr>
          <w:ilvl w:val="0"/>
          <w:numId w:val="1013"/>
        </w:numPr>
      </w:pPr>
      <w:hyperlink r:id="rId67">
        <w:r>
          <w:rPr>
            <w:rStyle w:val="Hyperlink"/>
          </w:rPr>
          <w:t xml:space="preserve">Climate Council — Markets are Moving</w:t>
        </w:r>
      </w:hyperlink>
    </w:p>
    <w:p>
      <w:pPr>
        <w:pStyle w:val="Compact"/>
        <w:numPr>
          <w:ilvl w:val="0"/>
          <w:numId w:val="1013"/>
        </w:numPr>
      </w:pPr>
      <w:hyperlink r:id="rId68">
        <w:r>
          <w:rPr>
            <w:rStyle w:val="Hyperlink"/>
          </w:rPr>
          <w:t xml:space="preserve">Australia Institute — Premium Price</w:t>
        </w:r>
      </w:hyperlink>
    </w:p>
    <w:p>
      <w:pPr>
        <w:pStyle w:val="Compact"/>
        <w:numPr>
          <w:ilvl w:val="0"/>
          <w:numId w:val="1013"/>
        </w:numPr>
      </w:pPr>
      <w:hyperlink r:id="rId69">
        <w:r>
          <w:rPr>
            <w:rStyle w:val="Hyperlink"/>
          </w:rPr>
          <w:t xml:space="preserve">Swiss Re — Ten Years On, TC Yasi</w:t>
        </w:r>
      </w:hyperlink>
    </w:p>
    <w:p>
      <w:pPr>
        <w:pStyle w:val="Compact"/>
        <w:numPr>
          <w:ilvl w:val="0"/>
          <w:numId w:val="1013"/>
        </w:numPr>
      </w:pPr>
      <w:hyperlink r:id="rId70">
        <w:r>
          <w:rPr>
            <w:rStyle w:val="Hyperlink"/>
          </w:rPr>
          <w:t xml:space="preserve">Guy Carpenter — TC Alfred Post-Event Report</w:t>
        </w:r>
      </w:hyperlink>
    </w:p>
    <w:p>
      <w:pPr>
        <w:pStyle w:val="Compact"/>
        <w:numPr>
          <w:ilvl w:val="0"/>
          <w:numId w:val="1013"/>
        </w:numPr>
      </w:pPr>
      <w:hyperlink r:id="rId71">
        <w:r>
          <w:rPr>
            <w:rStyle w:val="Hyperlink"/>
          </w:rPr>
          <w:t xml:space="preserve">CSIRO — Understanding the True Cost of Drought</w:t>
        </w:r>
      </w:hyperlink>
    </w:p>
    <w:bookmarkEnd w:id="72"/>
    <w:bookmarkStart w:id="78" w:name="industry-utilities"/>
    <w:p>
      <w:pPr>
        <w:pStyle w:val="Heading3"/>
      </w:pPr>
      <w:r>
        <w:t xml:space="preserve">Industry / Utilities</w:t>
      </w:r>
    </w:p>
    <w:p>
      <w:pPr>
        <w:pStyle w:val="Compact"/>
        <w:numPr>
          <w:ilvl w:val="0"/>
          <w:numId w:val="1014"/>
        </w:numPr>
      </w:pPr>
      <w:hyperlink r:id="rId73">
        <w:r>
          <w:rPr>
            <w:rStyle w:val="Hyperlink"/>
          </w:rPr>
          <w:t xml:space="preserve">Ergon Energy — Flood Recovery 2025</w:t>
        </w:r>
      </w:hyperlink>
    </w:p>
    <w:p>
      <w:pPr>
        <w:pStyle w:val="Compact"/>
        <w:numPr>
          <w:ilvl w:val="0"/>
          <w:numId w:val="1014"/>
        </w:numPr>
      </w:pPr>
      <w:hyperlink r:id="rId74">
        <w:r>
          <w:rPr>
            <w:rStyle w:val="Hyperlink"/>
          </w:rPr>
          <w:t xml:space="preserve">RenewEconomy — QLD Electricity Users $51M Disaster Costs</w:t>
        </w:r>
      </w:hyperlink>
    </w:p>
    <w:p>
      <w:pPr>
        <w:pStyle w:val="Compact"/>
        <w:numPr>
          <w:ilvl w:val="0"/>
          <w:numId w:val="1014"/>
        </w:numPr>
      </w:pPr>
      <w:hyperlink r:id="rId75">
        <w:r>
          <w:rPr>
            <w:rStyle w:val="Hyperlink"/>
          </w:rPr>
          <w:t xml:space="preserve">Aurizon — Cyclone Debbie Update</w:t>
        </w:r>
      </w:hyperlink>
    </w:p>
    <w:p>
      <w:pPr>
        <w:pStyle w:val="Compact"/>
        <w:numPr>
          <w:ilvl w:val="0"/>
          <w:numId w:val="1014"/>
        </w:numPr>
      </w:pPr>
      <w:hyperlink r:id="rId76">
        <w:r>
          <w:rPr>
            <w:rStyle w:val="Hyperlink"/>
          </w:rPr>
          <w:t xml:space="preserve">Cairns Regional Council — TC Jasper Economic Impact</w:t>
        </w:r>
      </w:hyperlink>
    </w:p>
    <w:p>
      <w:pPr>
        <w:pStyle w:val="Compact"/>
        <w:numPr>
          <w:ilvl w:val="0"/>
          <w:numId w:val="1014"/>
        </w:numPr>
      </w:pPr>
      <w:hyperlink r:id="rId77">
        <w:r>
          <w:rPr>
            <w:rStyle w:val="Hyperlink"/>
          </w:rPr>
          <w:t xml:space="preserve">SBS — Cyclone Alfred Among Costliest Disasters</w:t>
        </w:r>
      </w:hyperlink>
    </w:p>
    <w:bookmarkEnd w:id="78"/>
    <w:bookmarkEnd w:id="79"/>
    <w:bookmarkEnd w:id="8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2" Target="https://arpc.gov.au/reinsurance-pools/cyclone/" TargetMode="External" /><Relationship Type="http://schemas.openxmlformats.org/officeDocument/2006/relationships/hyperlink" Id="rId68" Target="https://australiainstitute.org.au/report/premium-price-the-impact-of-climate-change-on-insurance-costs/" TargetMode="External" /><Relationship Type="http://schemas.openxmlformats.org/officeDocument/2006/relationships/hyperlink" Id="rId57" Target="https://budget.gov.au/content/05-recovery-and-rebuild.htm" TargetMode="External" /><Relationship Type="http://schemas.openxmlformats.org/officeDocument/2006/relationships/hyperlink" Id="rId61" Target="https://insurancecouncil.com.au/news-hub/current-catastrophes/" TargetMode="External" /><Relationship Type="http://schemas.openxmlformats.org/officeDocument/2006/relationships/hyperlink" Id="rId60" Target="https://insurancecouncil.com.au/resource/2022-flood-now-third-costliest-natural-disaster-ever/" TargetMode="External" /><Relationship Type="http://schemas.openxmlformats.org/officeDocument/2006/relationships/hyperlink" Id="rId59" Target="https://insurancecouncil.com.au/resource/extreme-weather-cost-3-5-billion-in-2025/" TargetMode="External" /><Relationship Type="http://schemas.openxmlformats.org/officeDocument/2006/relationships/hyperlink" Id="rId74" Target="https://reneweconomy.com.au/queensland-electricity-users-hit-with-51m-in-natural-disaster-costs/" TargetMode="External" /><Relationship Type="http://schemas.openxmlformats.org/officeDocument/2006/relationships/hyperlink" Id="rId54" Target="https://statements.qld.gov.au/statements/88360" TargetMode="External" /><Relationship Type="http://schemas.openxmlformats.org/officeDocument/2006/relationships/hyperlink" Id="rId55" Target="https://statements.qld.gov.au/statements/98890" TargetMode="External" /><Relationship Type="http://schemas.openxmlformats.org/officeDocument/2006/relationships/hyperlink" Id="rId50" Target="https://www.accc.gov.au/system/files/Northern%20Australia%20Insurance%20Inquiry%20-%20Final%20Report%20-%2030%20November%202020.pdf" TargetMode="External" /><Relationship Type="http://schemas.openxmlformats.org/officeDocument/2006/relationships/hyperlink" Id="rId51" Target="https://www.accc.gov.au/system/files/accc-insurance-monitoring-report-december-2023.pdf" TargetMode="External" /><Relationship Type="http://schemas.openxmlformats.org/officeDocument/2006/relationships/hyperlink" Id="rId62" Target="https://www.actuaries.asn.au/public-policy-and-media/our-thought-leadership/reports/home-insurance-affordability-and-socioeconomic-equity-in-a-changing-climate" TargetMode="External" /><Relationship Type="http://schemas.openxmlformats.org/officeDocument/2006/relationships/hyperlink" Id="rId49" Target="https://www.aer.gov.au/news/articles/communications/aer-makes-determinations-energy-queenslands-2023-24-natural-disaster-cost-pass-throughs" TargetMode="External" /><Relationship Type="http://schemas.openxmlformats.org/officeDocument/2006/relationships/hyperlink" Id="rId75" Target="https://www.aurizon.com.au/news/2017/update-on-impacts-of-cyclone-debbie" TargetMode="External" /><Relationship Type="http://schemas.openxmlformats.org/officeDocument/2006/relationships/hyperlink" Id="rId76" Target="https://www.cairns.qld.gov.au/__data/assets/pdf_file/0006/658086/Clause-No.-1-Tropical-Cyclone-Jasper-Economic-Impact-Assessment-v.2.pdf" TargetMode="External" /><Relationship Type="http://schemas.openxmlformats.org/officeDocument/2006/relationships/hyperlink" Id="rId63" Target="https://www.choice.com.au/money/insurance/home-and-contents/articles/home-insurance-prices" TargetMode="External" /><Relationship Type="http://schemas.openxmlformats.org/officeDocument/2006/relationships/hyperlink" Id="rId67" Target="https://www.climatecouncil.org.au/resources/markets-moving-economic-costs-australias-climate-inaction/" TargetMode="External" /><Relationship Type="http://schemas.openxmlformats.org/officeDocument/2006/relationships/hyperlink" Id="rId66" Target="https://www.climatecouncil.org.au/resources/the-great-deluge-australias-new-era-of-unnatural-disasters/" TargetMode="External" /><Relationship Type="http://schemas.openxmlformats.org/officeDocument/2006/relationships/hyperlink" Id="rId71" Target="https://www.csiro.au/en/news/all/articles/2023/july/cost-of-drought" TargetMode="External" /><Relationship Type="http://schemas.openxmlformats.org/officeDocument/2006/relationships/hyperlink" Id="rId73" Target="https://www.ergon.com.au/network/news/2025/flood-lights-ergon-powers-community-recovery" TargetMode="External" /><Relationship Type="http://schemas.openxmlformats.org/officeDocument/2006/relationships/hyperlink" Id="rId70" Target="https://www.guycarp.com/insights/2025/03/post-event-report-2025-australian-region-tropical-cyclone-aAlfred.html" TargetMode="External" /><Relationship Type="http://schemas.openxmlformats.org/officeDocument/2006/relationships/hyperlink" Id="rId65" Target="https://www.iag.com.au/newsroom/community/natural-disasters-estimated-cost-australia-73-billion-year-2060" TargetMode="External" /><Relationship Type="http://schemas.openxmlformats.org/officeDocument/2006/relationships/hyperlink" Id="rId53" Target="https://www.qra.qld.gov.au/sites/default/files/2022-07/dae_report_-_south_east_queensland_rainfall_and_flooding_event_-_8_june_2022.pdf" TargetMode="External" /><Relationship Type="http://schemas.openxmlformats.org/officeDocument/2006/relationships/hyperlink" Id="rId48" Target="https://www.qra.qld.gov.au/sites/default/files/2025-09/Annual_Report_2024-25_0.PDF" TargetMode="External" /><Relationship Type="http://schemas.openxmlformats.org/officeDocument/2006/relationships/hyperlink" Id="rId77" Target="https://www.sbs.com.au/news/article/cyclone-alfred-among-most-costly-disasters-of-2025/5oh2c849g" TargetMode="External" /><Relationship Type="http://schemas.openxmlformats.org/officeDocument/2006/relationships/hyperlink" Id="rId56" Target="https://www.seqwater.com.au/project/investigating-new-south-east-queensland-desalination-plant" TargetMode="External" /><Relationship Type="http://schemas.openxmlformats.org/officeDocument/2006/relationships/hyperlink" Id="rId69" Target="https://www.swissre.com/australia_newzealand/insights/ten-years-on-tropical-cyclone-yasi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s://arpc.gov.au/reinsurance-pools/cyclone/" TargetMode="External" /><Relationship Type="http://schemas.openxmlformats.org/officeDocument/2006/relationships/hyperlink" Id="rId68" Target="https://australiainstitute.org.au/report/premium-price-the-impact-of-climate-change-on-insurance-costs/" TargetMode="External" /><Relationship Type="http://schemas.openxmlformats.org/officeDocument/2006/relationships/hyperlink" Id="rId57" Target="https://budget.gov.au/content/05-recovery-and-rebuild.htm" TargetMode="External" /><Relationship Type="http://schemas.openxmlformats.org/officeDocument/2006/relationships/hyperlink" Id="rId61" Target="https://insurancecouncil.com.au/news-hub/current-catastrophes/" TargetMode="External" /><Relationship Type="http://schemas.openxmlformats.org/officeDocument/2006/relationships/hyperlink" Id="rId60" Target="https://insurancecouncil.com.au/resource/2022-flood-now-third-costliest-natural-disaster-ever/" TargetMode="External" /><Relationship Type="http://schemas.openxmlformats.org/officeDocument/2006/relationships/hyperlink" Id="rId59" Target="https://insurancecouncil.com.au/resource/extreme-weather-cost-3-5-billion-in-2025/" TargetMode="External" /><Relationship Type="http://schemas.openxmlformats.org/officeDocument/2006/relationships/hyperlink" Id="rId74" Target="https://reneweconomy.com.au/queensland-electricity-users-hit-with-51m-in-natural-disaster-costs/" TargetMode="External" /><Relationship Type="http://schemas.openxmlformats.org/officeDocument/2006/relationships/hyperlink" Id="rId54" Target="https://statements.qld.gov.au/statements/88360" TargetMode="External" /><Relationship Type="http://schemas.openxmlformats.org/officeDocument/2006/relationships/hyperlink" Id="rId55" Target="https://statements.qld.gov.au/statements/98890" TargetMode="External" /><Relationship Type="http://schemas.openxmlformats.org/officeDocument/2006/relationships/hyperlink" Id="rId50" Target="https://www.accc.gov.au/system/files/Northern%20Australia%20Insurance%20Inquiry%20-%20Final%20Report%20-%2030%20November%202020.pdf" TargetMode="External" /><Relationship Type="http://schemas.openxmlformats.org/officeDocument/2006/relationships/hyperlink" Id="rId51" Target="https://www.accc.gov.au/system/files/accc-insurance-monitoring-report-december-2023.pdf" TargetMode="External" /><Relationship Type="http://schemas.openxmlformats.org/officeDocument/2006/relationships/hyperlink" Id="rId62" Target="https://www.actuaries.asn.au/public-policy-and-media/our-thought-leadership/reports/home-insurance-affordability-and-socioeconomic-equity-in-a-changing-climate" TargetMode="External" /><Relationship Type="http://schemas.openxmlformats.org/officeDocument/2006/relationships/hyperlink" Id="rId49" Target="https://www.aer.gov.au/news/articles/communications/aer-makes-determinations-energy-queenslands-2023-24-natural-disaster-cost-pass-throughs" TargetMode="External" /><Relationship Type="http://schemas.openxmlformats.org/officeDocument/2006/relationships/hyperlink" Id="rId75" Target="https://www.aurizon.com.au/news/2017/update-on-impacts-of-cyclone-debbie" TargetMode="External" /><Relationship Type="http://schemas.openxmlformats.org/officeDocument/2006/relationships/hyperlink" Id="rId76" Target="https://www.cairns.qld.gov.au/__data/assets/pdf_file/0006/658086/Clause-No.-1-Tropical-Cyclone-Jasper-Economic-Impact-Assessment-v.2.pdf" TargetMode="External" /><Relationship Type="http://schemas.openxmlformats.org/officeDocument/2006/relationships/hyperlink" Id="rId63" Target="https://www.choice.com.au/money/insurance/home-and-contents/articles/home-insurance-prices" TargetMode="External" /><Relationship Type="http://schemas.openxmlformats.org/officeDocument/2006/relationships/hyperlink" Id="rId67" Target="https://www.climatecouncil.org.au/resources/markets-moving-economic-costs-australias-climate-inaction/" TargetMode="External" /><Relationship Type="http://schemas.openxmlformats.org/officeDocument/2006/relationships/hyperlink" Id="rId66" Target="https://www.climatecouncil.org.au/resources/the-great-deluge-australias-new-era-of-unnatural-disasters/" TargetMode="External" /><Relationship Type="http://schemas.openxmlformats.org/officeDocument/2006/relationships/hyperlink" Id="rId71" Target="https://www.csiro.au/en/news/all/articles/2023/july/cost-of-drought" TargetMode="External" /><Relationship Type="http://schemas.openxmlformats.org/officeDocument/2006/relationships/hyperlink" Id="rId73" Target="https://www.ergon.com.au/network/news/2025/flood-lights-ergon-powers-community-recovery" TargetMode="External" /><Relationship Type="http://schemas.openxmlformats.org/officeDocument/2006/relationships/hyperlink" Id="rId70" Target="https://www.guycarp.com/insights/2025/03/post-event-report-2025-australian-region-tropical-cyclone-aAlfred.html" TargetMode="External" /><Relationship Type="http://schemas.openxmlformats.org/officeDocument/2006/relationships/hyperlink" Id="rId65" Target="https://www.iag.com.au/newsroom/community/natural-disasters-estimated-cost-australia-73-billion-year-2060" TargetMode="External" /><Relationship Type="http://schemas.openxmlformats.org/officeDocument/2006/relationships/hyperlink" Id="rId53" Target="https://www.qra.qld.gov.au/sites/default/files/2022-07/dae_report_-_south_east_queensland_rainfall_and_flooding_event_-_8_june_2022.pdf" TargetMode="External" /><Relationship Type="http://schemas.openxmlformats.org/officeDocument/2006/relationships/hyperlink" Id="rId48" Target="https://www.qra.qld.gov.au/sites/default/files/2025-09/Annual_Report_2024-25_0.PDF" TargetMode="External" /><Relationship Type="http://schemas.openxmlformats.org/officeDocument/2006/relationships/hyperlink" Id="rId77" Target="https://www.sbs.com.au/news/article/cyclone-alfred-among-most-costly-disasters-of-2025/5oh2c849g" TargetMode="External" /><Relationship Type="http://schemas.openxmlformats.org/officeDocument/2006/relationships/hyperlink" Id="rId56" Target="https://www.seqwater.com.au/project/investigating-new-south-east-queensland-desalination-plant" TargetMode="External" /><Relationship Type="http://schemas.openxmlformats.org/officeDocument/2006/relationships/hyperlink" Id="rId69" Target="https://www.swissre.com/australia_newzealand/insights/ten-years-on-tropical-cyclone-yasi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2026-03-13T01:08:43Z</dcterms:created>
  <dcterms:modified xsi:type="dcterms:W3CDTF">2026-03-13T01:08:43Z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