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avings-reconciliation"/>
    <w:p>
      <w:pPr>
        <w:pStyle w:val="Heading1"/>
      </w:pPr>
      <w:r>
        <w:t xml:space="preserve">Savings Reconciliation</w:t>
      </w:r>
    </w:p>
    <w:p>
      <w:pPr>
        <w:pStyle w:val="FirstParagraph"/>
      </w:pPr>
      <w:r>
        <w:t xml:space="preserve">Three different annual saving figures appear in this analysis. They measure different scopes: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A$/yr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Truck fleet operating saving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550M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360 trucks only. Fuel + maintenance saving. Gross of electricity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Diesel replacement net saving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800M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diesel (700 ML — trucks + excavators + drills + ancillary). Net of electricity at A$91/MWh LCOE. Excludes gas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Full project net benefit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1,208M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diesel + all gas displaced. Net of all new opex (renewable O&amp;M, charger O&amp;M). Used in IRR model</w:t>
            </w:r>
          </w:p>
        </w:tc>
      </w:tr>
    </w:tbl>
    <w:p>
      <w:pPr>
        <w:pStyle w:val="BodyText"/>
      </w:pPr>
      <w:r>
        <w:rPr>
          <w:b/>
          <w:bCs/>
        </w:rPr>
        <w:t xml:space="preserve">Bridging from A$550M to A$1,208M: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A$M/yr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Truck fleet saving (fuel + maintenance)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Add: non-truck diesel (excavators, drills, ancillary)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All diesel gross saving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1,100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Add: maintenance saving on all equipment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Less: electricity cost (A$91/MWh × ~3,800 GWh)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(350)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Diesel replacement net saving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800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Add: gas fuel displaced (existing 16M GJ + new 5.6M GJ at A$8/GJ)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Add: gas O&amp;M avoided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Less: additional renewable/charger O&amp;M beyond electricity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(incl above)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Adjustment: opex split difference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Full project net benefit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1,208</w:t>
            </w:r>
          </w:p>
        </w:tc>
      </w:tr>
    </w:tbl>
    <w:p>
      <w:pPr>
        <w:pStyle w:val="BodyText"/>
      </w:pPr>
      <w:r>
        <w:rPr>
          <w:i/>
          <w:iCs/>
        </w:rPr>
        <w:t xml:space="preserve">Note: the A$550M truck-only figure uses per-truck economics (160 L/hr, 6,000 hrs, A$1.57/L net diesel). The A$1,100M all-diesel figure uses the fleet total (700 ML × A$1.57/L). The difference reflects non-truck diesel consumption (excavators, drill rigs, dozers, water carts, light vehicles) which accounts for 30-40% of total diesel.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2026-04-20T21:18:38Z</dcterms:created>
  <dcterms:modified xsi:type="dcterms:W3CDTF">2026-04-20T21:18:38Z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