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d4e0e853ac2417dd86e4c3f24df74d8b1a3ce1"/>
    <w:p>
      <w:pPr>
        <w:pStyle w:val="Heading1"/>
      </w:pPr>
      <w:r>
        <w:t xml:space="preserve">Claim ledger — northern summer 2026 summary tables</w:t>
      </w:r>
    </w:p>
    <w:p>
      <w:pPr>
        <w:pStyle w:val="FirstParagraph"/>
      </w:pPr>
      <w:r>
        <w:t xml:space="preserve">Covers</w:t>
      </w:r>
      <w:r>
        <w:t xml:space="preserve"> </w:t>
      </w:r>
      <w:r>
        <w:rPr>
          <w:rStyle w:val="VerbatimChar"/>
        </w:rPr>
        <w:t xml:space="preserve">media/summer2026_records.png</w:t>
      </w:r>
      <w:r>
        <w:t xml:space="preserve"> </w:t>
      </w:r>
      <w:r>
        <w:t xml:space="preserve">(</w:t>
      </w:r>
      <w:r>
        <w:t xml:space="preserve">“What broke”</w:t>
      </w:r>
      <w:r>
        <w:t xml:space="preserve">) and</w:t>
      </w:r>
      <w:r>
        <w:t xml:space="preserve"> </w:t>
      </w:r>
      <w:r>
        <w:rPr>
          <w:rStyle w:val="VerbatimChar"/>
        </w:rPr>
        <w:t xml:space="preserve">media/summer2026_consequences.png</w:t>
      </w:r>
      <w:r>
        <w:t xml:space="preserve"> </w:t>
      </w:r>
      <w:r>
        <w:t xml:space="preserve">(</w:t>
      </w:r>
      <w:r>
        <w:t xml:space="preserve">“What it did”</w:t>
      </w:r>
      <w:r>
        <w:t xml:space="preserve">). Build script:</w:t>
      </w:r>
      <w:r>
        <w:t xml:space="preserve"> </w:t>
      </w:r>
      <w:r>
        <w:rPr>
          <w:rStyle w:val="VerbatimChar"/>
        </w:rPr>
        <w:t xml:space="preserve">background/build_tables.py</w:t>
      </w:r>
      <w:r>
        <w:t xml:space="preserve">. EFFIS raw response:</w:t>
      </w:r>
      <w:r>
        <w:t xml:space="preserve"> </w:t>
      </w:r>
      <w:r>
        <w:rPr>
          <w:rStyle w:val="VerbatimChar"/>
        </w:rPr>
        <w:t xml:space="preserve">background/effis_eu.json</w:t>
      </w:r>
      <w:r>
        <w:t xml:space="preserve">.</w:t>
      </w:r>
    </w:p>
    <w:p>
      <w:pPr>
        <w:pStyle w:val="BodyText"/>
      </w:pPr>
      <w:r>
        <w:t xml:space="preserve">Effort tier:</w:t>
      </w:r>
      <w:r>
        <w:t xml:space="preserve"> </w:t>
      </w:r>
      <w:r>
        <w:rPr>
          <w:b/>
          <w:bCs/>
        </w:rPr>
        <w:t xml:space="preserve">T2 (briefing)</w:t>
      </w:r>
      <w:r>
        <w:t xml:space="preserve">. Window: 1 June – 8 August 2026. Method: the</w:t>
      </w:r>
      <w:r>
        <w:t xml:space="preserve"> </w:t>
      </w:r>
      <w:r>
        <w:t xml:space="preserve">Carbon Brief Daily Briefing archive (40 issues, 22 June – 7 August, in the</w:t>
      </w:r>
      <w:r>
        <w:t xml:space="preserve"> </w:t>
      </w:r>
      <w:r>
        <w:t xml:space="preserve">user’s mailbox) was used as an</w:t>
      </w:r>
      <w:r>
        <w:t xml:space="preserve"> </w:t>
      </w:r>
      <w:r>
        <w:rPr>
          <w:b/>
          <w:bCs/>
        </w:rPr>
        <w:t xml:space="preserve">index</w:t>
      </w:r>
      <w:r>
        <w:t xml:space="preserve"> </w:t>
      </w:r>
      <w:r>
        <w:t xml:space="preserve">of candidate events; every number in</w:t>
      </w:r>
      <w:r>
        <w:t xml:space="preserve"> </w:t>
      </w:r>
      <w:r>
        <w:t xml:space="preserve">the tables was then taken from a primary source, not from the coverage.</w:t>
      </w:r>
    </w:p>
    <w:p>
      <w:pPr>
        <w:pStyle w:val="BodyText"/>
      </w:pPr>
      <w:r>
        <w:t xml:space="preserve">Class A = appears in a table. Class B = supporting context.</w:t>
      </w:r>
    </w:p>
    <w:p>
      <w:r>
        <w:pict>
          <v:rect style="width:0;height:1.5pt" o:hralign="center" o:hrstd="t" o:hr="t"/>
        </w:pict>
      </w:r>
    </w:p>
    <w:bookmarkStart w:id="20" w:name="table-1-what-broke"/>
    <w:p>
      <w:pPr>
        <w:pStyle w:val="Heading2"/>
      </w:pPr>
      <w:r>
        <w:t xml:space="preserve">Table 1 — What broke</w:t>
      </w:r>
    </w:p>
    <w:tbl>
      <w:tblPr>
        <w:tblStyle w:val="Table"/>
        <w:tblW w:type="pct" w:w="5000"/>
        <w:tblLayout w:type="fixed"/>
        <w:tblLook w:firstRow="1" w:lastRow="0" w:firstColumn="0" w:lastColumn="0" w:noHBand="0" w:noVBand="0" w:val="0020"/>
      </w:tblPr>
      <w:tblGrid>
        <w:gridCol w:w="1440"/>
        <w:gridCol w:w="1080"/>
        <w:gridCol w:w="1080"/>
        <w:gridCol w:w="1080"/>
        <w:gridCol w:w="1080"/>
        <w:gridCol w:w="1080"/>
        <w:gridCol w:w="1080"/>
      </w:tblGrid>
      <w:tr>
        <w:trPr>
          <w:tblHeader w:val="on"/>
        </w:trPr>
        <w:tc>
          <w:tcPr/>
          <w:p>
            <w:pPr>
              <w:pStyle w:val="Compact"/>
              <w:jc w:val="left"/>
            </w:pPr>
            <w:r>
              <w:t xml:space="preserve">ID</w:t>
            </w:r>
          </w:p>
        </w:tc>
        <w:tc>
          <w:tcPr/>
          <w:p>
            <w:pPr>
              <w:pStyle w:val="Compact"/>
              <w:jc w:val="left"/>
            </w:pPr>
            <w:r>
              <w:t xml:space="preserve">Claim</w:t>
            </w:r>
          </w:p>
        </w:tc>
        <w:tc>
          <w:tcPr/>
          <w:p>
            <w:pPr>
              <w:pStyle w:val="Compact"/>
              <w:jc w:val="left"/>
            </w:pPr>
            <w:r>
              <w:t xml:space="preserve">Verbatim source snippet</w:t>
            </w:r>
          </w:p>
        </w:tc>
        <w:tc>
          <w:tcPr/>
          <w:p>
            <w:pPr>
              <w:pStyle w:val="Compact"/>
              <w:jc w:val="left"/>
            </w:pPr>
            <w:r>
              <w:t xml:space="preserve">Source</w:t>
            </w:r>
          </w:p>
        </w:tc>
        <w:tc>
          <w:tcPr/>
          <w:p>
            <w:pPr>
              <w:pStyle w:val="Compact"/>
              <w:jc w:val="left"/>
            </w:pPr>
            <w:r>
              <w:t xml:space="preserve">Accessed</w:t>
            </w:r>
          </w:p>
        </w:tc>
        <w:tc>
          <w:tcPr/>
          <w:p>
            <w:pPr>
              <w:pStyle w:val="Compact"/>
              <w:jc w:val="left"/>
            </w:pPr>
            <w:r>
              <w:t xml:space="preserve">Tier</w:t>
            </w:r>
          </w:p>
        </w:tc>
        <w:tc>
          <w:tcPr/>
          <w:p>
            <w:pPr>
              <w:pStyle w:val="Compact"/>
              <w:jc w:val="left"/>
            </w:pPr>
            <w:r>
              <w:t xml:space="preserve">Class</w:t>
            </w:r>
          </w:p>
        </w:tc>
      </w:tr>
      <w:tr>
        <w:tc>
          <w:tcPr/>
          <w:p>
            <w:pPr>
              <w:pStyle w:val="Compact"/>
              <w:jc w:val="left"/>
            </w:pPr>
            <w:r>
              <w:t xml:space="preserve">R1</w:t>
            </w:r>
          </w:p>
        </w:tc>
        <w:tc>
          <w:tcPr/>
          <w:p>
            <w:pPr>
              <w:pStyle w:val="Compact"/>
              <w:jc w:val="left"/>
            </w:pPr>
            <w:r>
              <w:t xml:space="preserve">Western Europe warmest June on record, 20.74 °C, +3.05 °C vs 1991–2020</w:t>
            </w:r>
          </w:p>
        </w:tc>
        <w:tc>
          <w:tcPr/>
          <w:p>
            <w:pPr>
              <w:pStyle w:val="Compact"/>
              <w:jc w:val="left"/>
            </w:pPr>
            <w:r>
              <w:t xml:space="preserve">“Western Europe, the region most affected by the heatwave, recorded its warmest June on record, with an average temperature of 20.74°C, 3.05°C above the 1991-2020 average for June”</w:t>
            </w:r>
          </w:p>
        </w:tc>
        <w:tc>
          <w:tcPr/>
          <w:p>
            <w:pPr>
              <w:pStyle w:val="Compact"/>
              <w:jc w:val="left"/>
            </w:pPr>
            <w:r>
              <w:t xml:space="preserve">Copernicus C3S June 2026 bulletin</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R2</w:t>
            </w:r>
          </w:p>
        </w:tc>
        <w:tc>
          <w:tcPr/>
          <w:p>
            <w:pPr>
              <w:pStyle w:val="Compact"/>
              <w:jc w:val="left"/>
            </w:pPr>
            <w:r>
              <w:t xml:space="preserve">Global ocean warmest June SST on record, 20.86 °C (60°S–60°N)</w:t>
            </w:r>
          </w:p>
        </w:tc>
        <w:tc>
          <w:tcPr/>
          <w:p>
            <w:pPr>
              <w:pStyle w:val="Compact"/>
              <w:jc w:val="left"/>
            </w:pPr>
            <w:r>
              <w:t xml:space="preserve">“The average sea surface temperature in extra-polar oceans between 60 degrees south and 60 degrees north reached a record 20.86 °C”</w:t>
            </w:r>
          </w:p>
        </w:tc>
        <w:tc>
          <w:tcPr/>
          <w:p>
            <w:pPr>
              <w:pStyle w:val="Compact"/>
              <w:jc w:val="left"/>
            </w:pPr>
            <w:r>
              <w:t xml:space="preserve">Copernicus C3S June 2026 bulletin</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R3</w:t>
            </w:r>
          </w:p>
        </w:tc>
        <w:tc>
          <w:tcPr/>
          <w:p>
            <w:pPr>
              <w:pStyle w:val="Compact"/>
              <w:jc w:val="left"/>
            </w:pPr>
            <w:r>
              <w:t xml:space="preserve">France warmest month ever recorded, 24.9 °C, beating August 2003</w:t>
            </w:r>
          </w:p>
        </w:tc>
        <w:tc>
          <w:tcPr/>
          <w:p>
            <w:pPr>
              <w:pStyle w:val="Compact"/>
              <w:jc w:val="left"/>
            </w:pPr>
            <w:r>
              <w:t xml:space="preserve">“a monthly average national temperature of 24.9 degrees Celsius, surpassing the previous records of 24.8 degrees Celsius in August 2003”</w:t>
            </w:r>
          </w:p>
        </w:tc>
        <w:tc>
          <w:tcPr/>
          <w:p>
            <w:pPr>
              <w:pStyle w:val="Compact"/>
              <w:jc w:val="left"/>
            </w:pPr>
            <w:r>
              <w:t xml:space="preserve">Météo-France via Xinhua / The Local</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R4</w:t>
            </w:r>
          </w:p>
        </w:tc>
        <w:tc>
          <w:tcPr/>
          <w:p>
            <w:pPr>
              <w:pStyle w:val="Compact"/>
              <w:jc w:val="left"/>
            </w:pPr>
            <w:r>
              <w:t xml:space="preserve">France warmest day on record, national average 29.8 °C, 24 June</w:t>
            </w:r>
          </w:p>
        </w:tc>
        <w:tc>
          <w:tcPr/>
          <w:p>
            <w:pPr>
              <w:pStyle w:val="Compact"/>
              <w:jc w:val="left"/>
            </w:pPr>
            <w:r>
              <w:t xml:space="preserve">“The average daily temperature across the country hit an all-time high of 29.8C on Tuesday, according to government forecaster Météo-France”</w:t>
            </w:r>
          </w:p>
        </w:tc>
        <w:tc>
          <w:tcPr/>
          <w:p>
            <w:pPr>
              <w:pStyle w:val="Compact"/>
              <w:jc w:val="left"/>
            </w:pPr>
            <w:r>
              <w:t xml:space="preserve">Météo-France via Bloomberg / NPR</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R5</w:t>
            </w:r>
          </w:p>
        </w:tc>
        <w:tc>
          <w:tcPr/>
          <w:p>
            <w:pPr>
              <w:pStyle w:val="Compact"/>
              <w:jc w:val="left"/>
            </w:pPr>
            <w:r>
              <w:t xml:space="preserve">South Korea highest temperature ever recorded, 42.5 °C at Yangsan, 2 Aug</w:t>
            </w:r>
          </w:p>
        </w:tc>
        <w:tc>
          <w:tcPr/>
          <w:p>
            <w:pPr>
              <w:pStyle w:val="Compact"/>
              <w:jc w:val="left"/>
            </w:pPr>
            <w:r>
              <w:t xml:space="preserve">“South Korea’s southeastern city of Yangsan reached 42.5°C (108.5°F) on August 2, 2026, establishing the country’s highest temperature since meteorological observations began”</w:t>
            </w:r>
          </w:p>
        </w:tc>
        <w:tc>
          <w:tcPr/>
          <w:p>
            <w:pPr>
              <w:pStyle w:val="Compact"/>
              <w:jc w:val="left"/>
            </w:pPr>
            <w:r>
              <w:t xml:space="preserve">KMA via phys.org / The Watchers</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R6</w:t>
            </w:r>
          </w:p>
        </w:tc>
        <w:tc>
          <w:tcPr/>
          <w:p>
            <w:pPr>
              <w:pStyle w:val="Compact"/>
              <w:jc w:val="left"/>
            </w:pPr>
            <w:r>
              <w:t xml:space="preserve">England warmest June on record; 38.0 °C at Lingwood, Norfolk, 26 June</w:t>
            </w:r>
          </w:p>
        </w:tc>
        <w:tc>
          <w:tcPr/>
          <w:p>
            <w:pPr>
              <w:pStyle w:val="Compact"/>
              <w:jc w:val="left"/>
            </w:pPr>
            <w:r>
              <w:t xml:space="preserve">“June 2026 was the hottest June on record for England, Met Office figures also show, with the highest temperature of 38C set in Lingwood, Norfolk, on 26 June”</w:t>
            </w:r>
          </w:p>
        </w:tc>
        <w:tc>
          <w:tcPr/>
          <w:p>
            <w:pPr>
              <w:pStyle w:val="Compact"/>
              <w:jc w:val="left"/>
            </w:pPr>
            <w:r>
              <w:t xml:space="preserve">UK Met Office</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R7</w:t>
            </w:r>
          </w:p>
        </w:tc>
        <w:tc>
          <w:tcPr/>
          <w:p>
            <w:pPr>
              <w:pStyle w:val="Compact"/>
              <w:jc w:val="left"/>
            </w:pPr>
            <w:r>
              <w:t xml:space="preserve">EU-27 burnt area 503,592 ha, 1.30× the 2006–2025 average to the same date</w:t>
            </w:r>
          </w:p>
        </w:tc>
        <w:tc>
          <w:tcPr/>
          <w:p>
            <w:pPr>
              <w:pStyle w:val="Compact"/>
              <w:jc w:val="left"/>
            </w:pPr>
            <w:r>
              <w:t xml:space="preserve">Computed from the EFFIS statistics API response (</w:t>
            </w:r>
            <w:r>
              <w:rPr>
                <w:rStyle w:val="VerbatimChar"/>
              </w:rPr>
              <w:t xml:space="preserve">effis_eu.json</w:t>
            </w:r>
            <w:r>
              <w:t xml:space="preserve">): sum of</w:t>
            </w:r>
            <w:r>
              <w:t xml:space="preserve"> </w:t>
            </w:r>
            <w:r>
              <w:rPr>
                <w:rStyle w:val="VerbatimChar"/>
              </w:rPr>
              <w:t xml:space="preserve">ba</w:t>
            </w:r>
            <w:r>
              <w:t xml:space="preserve"> </w:t>
            </w:r>
            <w:r>
              <w:t xml:space="preserve">= 503,592; sum of</w:t>
            </w:r>
            <w:r>
              <w:t xml:space="preserve"> </w:t>
            </w:r>
            <w:r>
              <w:rPr>
                <w:rStyle w:val="VerbatimChar"/>
              </w:rPr>
              <w:t xml:space="preserve">ba_avg</w:t>
            </w:r>
            <w:r>
              <w:t xml:space="preserve"> </w:t>
            </w:r>
            <w:r>
              <w:t xml:space="preserve">= 388,828</w:t>
            </w:r>
          </w:p>
        </w:tc>
        <w:tc>
          <w:tcPr/>
          <w:p>
            <w:pPr>
              <w:pStyle w:val="Compact"/>
              <w:jc w:val="left"/>
            </w:pPr>
            <w:r>
              <w:t xml:space="preserve">EFFIS / Copernicus statistics API v2</w:t>
            </w:r>
          </w:p>
        </w:tc>
        <w:tc>
          <w:tcPr/>
          <w:p>
            <w:pPr>
              <w:pStyle w:val="Compact"/>
              <w:jc w:val="left"/>
            </w:pPr>
            <w:r>
              <w:t xml:space="preserve">2026-08-08</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R8</w:t>
            </w:r>
          </w:p>
        </w:tc>
        <w:tc>
          <w:tcPr/>
          <w:p>
            <w:pPr>
              <w:pStyle w:val="Compact"/>
              <w:jc w:val="left"/>
            </w:pPr>
            <w:r>
              <w:t xml:space="preserve">Spain 223,403 ha, 2.3× its own average — largest EU national total</w:t>
            </w:r>
          </w:p>
        </w:tc>
        <w:tc>
          <w:tcPr/>
          <w:p>
            <w:pPr>
              <w:pStyle w:val="Compact"/>
              <w:jc w:val="left"/>
            </w:pPr>
            <w:r>
              <w:t xml:space="preserve">Same API response, ESA record:</w:t>
            </w:r>
            <w:r>
              <w:t xml:space="preserve"> </w:t>
            </w:r>
            <w:r>
              <w:rPr>
                <w:rStyle w:val="VerbatimChar"/>
              </w:rPr>
              <w:t xml:space="preserve">ba</w:t>
            </w:r>
            <w:r>
              <w:t xml:space="preserve"> </w:t>
            </w:r>
            <w:r>
              <w:t xml:space="preserve">223,403,</w:t>
            </w:r>
            <w:r>
              <w:t xml:space="preserve"> </w:t>
            </w:r>
            <w:r>
              <w:rPr>
                <w:rStyle w:val="VerbatimChar"/>
              </w:rPr>
              <w:t xml:space="preserve">ba_avg</w:t>
            </w:r>
            <w:r>
              <w:t xml:space="preserve"> </w:t>
            </w:r>
            <w:r>
              <w:t xml:space="preserve">95,246</w:t>
            </w:r>
          </w:p>
        </w:tc>
        <w:tc>
          <w:tcPr/>
          <w:p>
            <w:pPr>
              <w:pStyle w:val="Compact"/>
              <w:jc w:val="left"/>
            </w:pPr>
            <w:r>
              <w:t xml:space="preserve">EFFIS</w:t>
            </w:r>
          </w:p>
        </w:tc>
        <w:tc>
          <w:tcPr/>
          <w:p>
            <w:pPr>
              <w:pStyle w:val="Compact"/>
              <w:jc w:val="left"/>
            </w:pPr>
            <w:r>
              <w:t xml:space="preserve">2026-08-08</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R9</w:t>
            </w:r>
          </w:p>
        </w:tc>
        <w:tc>
          <w:tcPr/>
          <w:p>
            <w:pPr>
              <w:pStyle w:val="Compact"/>
              <w:jc w:val="left"/>
            </w:pPr>
            <w:r>
              <w:t xml:space="preserve">France 93,020 ha, 6.3× its own average — largest overshoot in the EU</w:t>
            </w:r>
          </w:p>
        </w:tc>
        <w:tc>
          <w:tcPr/>
          <w:p>
            <w:pPr>
              <w:pStyle w:val="Compact"/>
              <w:jc w:val="left"/>
            </w:pPr>
            <w:r>
              <w:t xml:space="preserve">Same API response, FRA record:</w:t>
            </w:r>
            <w:r>
              <w:t xml:space="preserve"> </w:t>
            </w:r>
            <w:r>
              <w:rPr>
                <w:rStyle w:val="VerbatimChar"/>
              </w:rPr>
              <w:t xml:space="preserve">ba</w:t>
            </w:r>
            <w:r>
              <w:t xml:space="preserve"> </w:t>
            </w:r>
            <w:r>
              <w:t xml:space="preserve">93,020,</w:t>
            </w:r>
            <w:r>
              <w:t xml:space="preserve"> </w:t>
            </w:r>
            <w:r>
              <w:rPr>
                <w:rStyle w:val="VerbatimChar"/>
              </w:rPr>
              <w:t xml:space="preserve">ba_avg</w:t>
            </w:r>
            <w:r>
              <w:t xml:space="preserve"> </w:t>
            </w:r>
            <w:r>
              <w:t xml:space="preserve">14,756</w:t>
            </w:r>
          </w:p>
        </w:tc>
        <w:tc>
          <w:tcPr/>
          <w:p>
            <w:pPr>
              <w:pStyle w:val="Compact"/>
              <w:jc w:val="left"/>
            </w:pPr>
            <w:r>
              <w:t xml:space="preserve">EFFIS</w:t>
            </w:r>
          </w:p>
        </w:tc>
        <w:tc>
          <w:tcPr/>
          <w:p>
            <w:pPr>
              <w:pStyle w:val="Compact"/>
              <w:jc w:val="left"/>
            </w:pPr>
            <w:r>
              <w:t xml:space="preserve">2026-08-08</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R10</w:t>
            </w:r>
          </w:p>
        </w:tc>
        <w:tc>
          <w:tcPr/>
          <w:p>
            <w:pPr>
              <w:pStyle w:val="Compact"/>
              <w:jc w:val="left"/>
            </w:pPr>
            <w:r>
              <w:rPr>
                <w:strike/>
              </w:rPr>
              <w:t xml:space="preserve">US at National Preparedness Level 5 since 18 July 2026</w:t>
            </w:r>
            <w:r>
              <w:t xml:space="preserve"> </w:t>
            </w:r>
            <w:r>
              <w:t xml:space="preserve">—</w:t>
            </w:r>
            <w:r>
              <w:t xml:space="preserve"> </w:t>
            </w:r>
            <w:r>
              <w:rPr>
                <w:b/>
                <w:bCs/>
              </w:rPr>
              <w:t xml:space="preserve">row removed 2026-08-09</w:t>
            </w:r>
            <w:r>
              <w:t xml:space="preserve"> </w:t>
            </w:r>
            <w:r>
              <w:t xml:space="preserve">at the user’s request; claim retained here as it remains verified</w:t>
            </w:r>
          </w:p>
        </w:tc>
        <w:tc>
          <w:tcPr/>
          <w:p>
            <w:pPr>
              <w:pStyle w:val="Compact"/>
              <w:jc w:val="left"/>
            </w:pPr>
            <w:r>
              <w:t xml:space="preserve">“National Preparedness Level 5 as of July 18, 2026 at 7:30 a.m. MDT (on a scale from 1 to 5)”</w:t>
            </w:r>
          </w:p>
        </w:tc>
        <w:tc>
          <w:tcPr/>
          <w:p>
            <w:pPr>
              <w:pStyle w:val="Compact"/>
              <w:jc w:val="left"/>
            </w:pPr>
            <w:r>
              <w:t xml:space="preserve">US National Interagency Fire Center</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w:t>
            </w:r>
          </w:p>
        </w:tc>
      </w:tr>
      <w:tr>
        <w:tc>
          <w:tcPr/>
          <w:p>
            <w:pPr>
              <w:pStyle w:val="Compact"/>
              <w:jc w:val="left"/>
            </w:pPr>
            <w:r>
              <w:t xml:space="preserve">R11</w:t>
            </w:r>
          </w:p>
        </w:tc>
        <w:tc>
          <w:tcPr/>
          <w:p>
            <w:pPr>
              <w:pStyle w:val="Compact"/>
              <w:jc w:val="left"/>
            </w:pPr>
            <w:r>
              <w:t xml:space="preserve">Canada c. 3 M ha burned; among the most intense seasons on record</w:t>
            </w:r>
          </w:p>
        </w:tc>
        <w:tc>
          <w:tcPr/>
          <w:p>
            <w:pPr>
              <w:pStyle w:val="Compact"/>
              <w:jc w:val="left"/>
            </w:pPr>
            <w:r>
              <w:t xml:space="preserve">“Canada has surpassed 3 million hectares burned during the 2026 wildfire season”</w:t>
            </w:r>
            <w:r>
              <w:t xml:space="preserve"> </w:t>
            </w:r>
            <w:r>
              <w:t xml:space="preserve">/ Prime Minister Carney calls it</w:t>
            </w:r>
            <w:r>
              <w:t xml:space="preserve"> </w:t>
            </w:r>
            <w:r>
              <w:t xml:space="preserve">“One of the most intense wildfire seasons in Canadian history”</w:t>
            </w:r>
          </w:p>
        </w:tc>
        <w:tc>
          <w:tcPr/>
          <w:p>
            <w:pPr>
              <w:pStyle w:val="Compact"/>
              <w:jc w:val="left"/>
            </w:pPr>
            <w:r>
              <w:t xml:space="preserve">Canadian government / CIFFC via media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R12</w:t>
            </w:r>
          </w:p>
        </w:tc>
        <w:tc>
          <w:tcPr/>
          <w:p>
            <w:pPr>
              <w:pStyle w:val="Compact"/>
              <w:jc w:val="left"/>
            </w:pPr>
            <w:r>
              <w:t xml:space="preserve">Southern England driest month ever recorded, series from 1836</w:t>
            </w:r>
          </w:p>
        </w:tc>
        <w:tc>
          <w:tcPr/>
          <w:p>
            <w:pPr>
              <w:pStyle w:val="Compact"/>
              <w:jc w:val="left"/>
            </w:pPr>
            <w:r>
              <w:t xml:space="preserve">“England and Wales have provisionally, recorded their driest July on record, with Southern England seeing its driest month ever recorded, in a series dating back to 1836”</w:t>
            </w:r>
          </w:p>
        </w:tc>
        <w:tc>
          <w:tcPr/>
          <w:p>
            <w:pPr>
              <w:pStyle w:val="Compact"/>
              <w:jc w:val="left"/>
            </w:pPr>
            <w:r>
              <w:t xml:space="preserve">UK Met Office, 3 Aug 2026</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R13</w:t>
            </w:r>
          </w:p>
        </w:tc>
        <w:tc>
          <w:tcPr/>
          <w:p>
            <w:pPr>
              <w:pStyle w:val="Compact"/>
              <w:jc w:val="left"/>
            </w:pPr>
            <w:r>
              <w:t xml:space="preserve">England July rainfall 6.5 mm, 10% of average, previous record 13.4 mm (1911)</w:t>
            </w:r>
          </w:p>
        </w:tc>
        <w:tc>
          <w:tcPr/>
          <w:p>
            <w:pPr>
              <w:pStyle w:val="Compact"/>
              <w:jc w:val="left"/>
            </w:pPr>
            <w:r>
              <w:t xml:space="preserve">“just 6.5mm of rainfall recorded – just 10% of its long-term meteorological average for the month, and less than half of the previous record of 13.4mm set in 1911”</w:t>
            </w:r>
          </w:p>
        </w:tc>
        <w:tc>
          <w:tcPr/>
          <w:p>
            <w:pPr>
              <w:pStyle w:val="Compact"/>
              <w:jc w:val="left"/>
            </w:pPr>
            <w:r>
              <w:t xml:space="preserve">UK Met Office via media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R14</w:t>
            </w:r>
          </w:p>
        </w:tc>
        <w:tc>
          <w:tcPr/>
          <w:p>
            <w:pPr>
              <w:pStyle w:val="Compact"/>
              <w:jc w:val="left"/>
            </w:pPr>
            <w:r>
              <w:t xml:space="preserve">Danube at Budapest c. 10 cm, all-time low, previous record 33 cm</w:t>
            </w:r>
          </w:p>
        </w:tc>
        <w:tc>
          <w:tcPr/>
          <w:p>
            <w:pPr>
              <w:pStyle w:val="Compact"/>
              <w:jc w:val="left"/>
            </w:pPr>
            <w:r>
              <w:t xml:space="preserve">“The Danube’s levels in Budapest reached around 10 centimeters (4 inches) on Monday, well below the previous all-time low of 33 centimeters (13 inches)”</w:t>
            </w:r>
          </w:p>
        </w:tc>
        <w:tc>
          <w:tcPr/>
          <w:p>
            <w:pPr>
              <w:pStyle w:val="Compact"/>
              <w:jc w:val="left"/>
            </w:pPr>
            <w:r>
              <w:t xml:space="preserve">Bloomberg / AP</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r>
        <w:tc>
          <w:tcPr/>
          <w:p>
            <w:pPr>
              <w:pStyle w:val="Compact"/>
              <w:jc w:val="left"/>
            </w:pPr>
            <w:r>
              <w:t xml:space="preserve">R15</w:t>
            </w:r>
          </w:p>
        </w:tc>
        <w:tc>
          <w:tcPr/>
          <w:p>
            <w:pPr>
              <w:pStyle w:val="Compact"/>
              <w:jc w:val="left"/>
            </w:pPr>
            <w:r>
              <w:t xml:space="preserve">Danube flow in Romania 1,500 m³/s, under a third of the July average</w:t>
            </w:r>
          </w:p>
        </w:tc>
        <w:tc>
          <w:tcPr/>
          <w:p>
            <w:pPr>
              <w:pStyle w:val="Compact"/>
              <w:jc w:val="left"/>
            </w:pPr>
            <w:r>
              <w:t xml:space="preserve">“The Danube’s water flow has fallen to 1,500 cubic meters per second in Romania, less than a third of its July average”</w:t>
            </w:r>
          </w:p>
        </w:tc>
        <w:tc>
          <w:tcPr/>
          <w:p>
            <w:pPr>
              <w:pStyle w:val="Compact"/>
              <w:jc w:val="left"/>
            </w:pPr>
            <w:r>
              <w:t xml:space="preserve">Bloomberg / AP</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r>
        <w:tc>
          <w:tcPr/>
          <w:p>
            <w:pPr>
              <w:pStyle w:val="Compact"/>
              <w:jc w:val="left"/>
            </w:pPr>
            <w:r>
              <w:t xml:space="preserve">R16</w:t>
            </w:r>
          </w:p>
        </w:tc>
        <w:tc>
          <w:tcPr/>
          <w:p>
            <w:pPr>
              <w:pStyle w:val="Compact"/>
              <w:jc w:val="left"/>
            </w:pPr>
            <w:r>
              <w:t xml:space="preserve">France third-driest July on record; rainfall ~70% below seasonal average</w:t>
            </w:r>
          </w:p>
        </w:tc>
        <w:tc>
          <w:tcPr/>
          <w:p>
            <w:pPr>
              <w:pStyle w:val="Compact"/>
              <w:jc w:val="left"/>
            </w:pPr>
            <w:r>
              <w:t xml:space="preserve">“Rainfall across the country was nearly 70 percent below the seasonal average, making July 2026 the third-driest July on record”</w:t>
            </w:r>
          </w:p>
        </w:tc>
        <w:tc>
          <w:tcPr/>
          <w:p>
            <w:pPr>
              <w:pStyle w:val="Compact"/>
              <w:jc w:val="left"/>
            </w:pPr>
            <w:r>
              <w:t xml:space="preserve">Météo-France via media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R17</w:t>
            </w:r>
          </w:p>
        </w:tc>
        <w:tc>
          <w:tcPr/>
          <w:p>
            <w:pPr>
              <w:pStyle w:val="Compact"/>
              <w:jc w:val="left"/>
            </w:pPr>
            <w:r>
              <w:t xml:space="preserve">Swiss glacier loss day 29 June 2026 — second-earliest since 2000, behind 26 June 2022</w:t>
            </w:r>
          </w:p>
        </w:tc>
        <w:tc>
          <w:tcPr/>
          <w:p>
            <w:pPr>
              <w:pStyle w:val="Compact"/>
              <w:jc w:val="left"/>
            </w:pPr>
            <w:r>
              <w:t xml:space="preserve">“The snow and ice accumulated last winter by Switzerland’s glaciers is expected to have all melted away by Monday, marking the alarming second-earliest arrival on record of the tipping point known as glacier loss day. In data going back to 2000, the only time that the tipping point arrived even earlier was in 2022, when it came on June 26.”</w:t>
            </w:r>
          </w:p>
        </w:tc>
        <w:tc>
          <w:tcPr/>
          <w:p>
            <w:pPr>
              <w:pStyle w:val="Compact"/>
              <w:jc w:val="left"/>
            </w:pPr>
            <w:r>
              <w:t xml:space="preserve">GLAMOS (Matthias Huss) via AFP / The Local / RTÉ, 27 Jun 2026</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R18</w:t>
            </w:r>
          </w:p>
        </w:tc>
        <w:tc>
          <w:tcPr/>
          <w:p>
            <w:pPr>
              <w:pStyle w:val="Compact"/>
              <w:jc w:val="left"/>
            </w:pPr>
            <w:r>
              <w:t xml:space="preserve">Swiss winter snowpack 25% below the 2010–2020 average</w:t>
            </w:r>
          </w:p>
        </w:tc>
        <w:tc>
          <w:tcPr/>
          <w:p>
            <w:pPr>
              <w:pStyle w:val="Compact"/>
              <w:jc w:val="left"/>
            </w:pPr>
            <w:r>
              <w:t xml:space="preserve">“This year had seen 25 percent less snow replenishing the surface of the glaciers compared to the 2010-2020 figures”</w:t>
            </w:r>
          </w:p>
        </w:tc>
        <w:tc>
          <w:tcPr/>
          <w:p>
            <w:pPr>
              <w:pStyle w:val="Compact"/>
              <w:jc w:val="left"/>
            </w:pPr>
            <w:r>
              <w:t xml:space="preserve">GLAMOS via AFP</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R19</w:t>
            </w:r>
          </w:p>
        </w:tc>
        <w:tc>
          <w:tcPr/>
          <w:p>
            <w:pPr>
              <w:pStyle w:val="Compact"/>
              <w:jc w:val="left"/>
            </w:pPr>
            <w:r>
              <w:t xml:space="preserve">Rhone Glacier lost 1 m of ice vertically in ten days</w:t>
            </w:r>
          </w:p>
        </w:tc>
        <w:tc>
          <w:tcPr/>
          <w:p>
            <w:pPr>
              <w:pStyle w:val="Compact"/>
              <w:jc w:val="left"/>
            </w:pPr>
            <w:r>
              <w:t xml:space="preserve">“Huss observed one metre of ice melted in the vertical direction at the Rhone Glacier within just 10 days”</w:t>
            </w:r>
          </w:p>
        </w:tc>
        <w:tc>
          <w:tcPr/>
          <w:p>
            <w:pPr>
              <w:pStyle w:val="Compact"/>
              <w:jc w:val="left"/>
            </w:pPr>
            <w:r>
              <w:t xml:space="preserve">GLAMOS (Matthias Huss) via AFP</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R20</w:t>
            </w:r>
          </w:p>
        </w:tc>
        <w:tc>
          <w:tcPr/>
          <w:p>
            <w:pPr>
              <w:pStyle w:val="Compact"/>
              <w:jc w:val="left"/>
            </w:pPr>
            <w:r>
              <w:t xml:space="preserve">2026 ranks second-worst Alpine glacier year on record, after 2022</w:t>
            </w:r>
          </w:p>
        </w:tc>
        <w:tc>
          <w:tcPr/>
          <w:p>
            <w:pPr>
              <w:pStyle w:val="Compact"/>
              <w:jc w:val="left"/>
            </w:pPr>
            <w:r>
              <w:t xml:space="preserve">2026 was</w:t>
            </w:r>
            <w:r>
              <w:t xml:space="preserve"> </w:t>
            </w:r>
            <w:r>
              <w:t xml:space="preserve">“surprisingly similar”</w:t>
            </w:r>
            <w:r>
              <w:t xml:space="preserve"> </w:t>
            </w:r>
            <w:r>
              <w:t xml:space="preserve">to 2022, which for glaciers was</w:t>
            </w:r>
            <w:r>
              <w:t xml:space="preserve"> </w:t>
            </w:r>
            <w:r>
              <w:t xml:space="preserve">“by far the most extreme year ever recorded in the Alps”</w:t>
            </w:r>
            <w:r>
              <w:t xml:space="preserve">;</w:t>
            </w:r>
            <w:r>
              <w:t xml:space="preserve"> </w:t>
            </w:r>
            <w:r>
              <w:t xml:space="preserve">“2026 currently ranks as the second-worst year on record”</w:t>
            </w:r>
          </w:p>
        </w:tc>
        <w:tc>
          <w:tcPr/>
          <w:p>
            <w:pPr>
              <w:pStyle w:val="Compact"/>
              <w:jc w:val="left"/>
            </w:pPr>
            <w:r>
              <w:t xml:space="preserve">GLAMOS via AFP</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B</w:t>
            </w:r>
          </w:p>
        </w:tc>
      </w:tr>
    </w:tbl>
    <w:bookmarkEnd w:id="20"/>
    <w:bookmarkStart w:id="21" w:name="table-2-what-it-did"/>
    <w:p>
      <w:pPr>
        <w:pStyle w:val="Heading2"/>
      </w:pPr>
      <w:r>
        <w:t xml:space="preserve">Table 2 — What it did</w:t>
      </w:r>
    </w:p>
    <w:tbl>
      <w:tblPr>
        <w:tblStyle w:val="Table"/>
        <w:tblW w:type="pct" w:w="5000"/>
        <w:tblLayout w:type="fixed"/>
        <w:tblLook w:firstRow="1" w:lastRow="0" w:firstColumn="0" w:lastColumn="0" w:noHBand="0" w:noVBand="0" w:val="0020"/>
      </w:tblPr>
      <w:tblGrid>
        <w:gridCol w:w="1440"/>
        <w:gridCol w:w="1080"/>
        <w:gridCol w:w="1080"/>
        <w:gridCol w:w="1080"/>
        <w:gridCol w:w="1080"/>
        <w:gridCol w:w="1080"/>
        <w:gridCol w:w="1080"/>
      </w:tblGrid>
      <w:tr>
        <w:trPr>
          <w:tblHeader w:val="on"/>
        </w:trPr>
        <w:tc>
          <w:tcPr/>
          <w:p>
            <w:pPr>
              <w:pStyle w:val="Compact"/>
              <w:jc w:val="left"/>
            </w:pPr>
            <w:r>
              <w:t xml:space="preserve">ID</w:t>
            </w:r>
          </w:p>
        </w:tc>
        <w:tc>
          <w:tcPr/>
          <w:p>
            <w:pPr>
              <w:pStyle w:val="Compact"/>
              <w:jc w:val="left"/>
            </w:pPr>
            <w:r>
              <w:t xml:space="preserve">Claim</w:t>
            </w:r>
          </w:p>
        </w:tc>
        <w:tc>
          <w:tcPr/>
          <w:p>
            <w:pPr>
              <w:pStyle w:val="Compact"/>
              <w:jc w:val="left"/>
            </w:pPr>
            <w:r>
              <w:t xml:space="preserve">Verbatim source snippet</w:t>
            </w:r>
          </w:p>
        </w:tc>
        <w:tc>
          <w:tcPr/>
          <w:p>
            <w:pPr>
              <w:pStyle w:val="Compact"/>
              <w:jc w:val="left"/>
            </w:pPr>
            <w:r>
              <w:t xml:space="preserve">Source</w:t>
            </w:r>
          </w:p>
        </w:tc>
        <w:tc>
          <w:tcPr/>
          <w:p>
            <w:pPr>
              <w:pStyle w:val="Compact"/>
              <w:jc w:val="left"/>
            </w:pPr>
            <w:r>
              <w:t xml:space="preserve">Accessed</w:t>
            </w:r>
          </w:p>
        </w:tc>
        <w:tc>
          <w:tcPr/>
          <w:p>
            <w:pPr>
              <w:pStyle w:val="Compact"/>
              <w:jc w:val="left"/>
            </w:pPr>
            <w:r>
              <w:t xml:space="preserve">Tier</w:t>
            </w:r>
          </w:p>
        </w:tc>
        <w:tc>
          <w:tcPr/>
          <w:p>
            <w:pPr>
              <w:pStyle w:val="Compact"/>
              <w:jc w:val="left"/>
            </w:pPr>
            <w:r>
              <w:t xml:space="preserve">Class</w:t>
            </w:r>
          </w:p>
        </w:tc>
      </w:tr>
      <w:tr>
        <w:tc>
          <w:tcPr/>
          <w:p>
            <w:pPr>
              <w:pStyle w:val="Compact"/>
              <w:jc w:val="left"/>
            </w:pPr>
            <w:r>
              <w:t xml:space="preserve">C1</w:t>
            </w:r>
          </w:p>
        </w:tc>
        <w:tc>
          <w:tcPr/>
          <w:p>
            <w:pPr>
              <w:pStyle w:val="Compact"/>
              <w:jc w:val="left"/>
            </w:pPr>
            <w:r>
              <w:t xml:space="preserve">10,650 excess deaths across 26 European countries, week 22–28 June</w:t>
            </w:r>
          </w:p>
        </w:tc>
        <w:tc>
          <w:tcPr/>
          <w:p>
            <w:pPr>
              <w:pStyle w:val="Compact"/>
              <w:jc w:val="left"/>
            </w:pPr>
            <w:r>
              <w:t xml:space="preserve">“there were no other known major factors … that would have contributed to the spike to 10,650 excess deaths in that week”</w:t>
            </w:r>
            <w:r>
              <w:t xml:space="preserve">; data</w:t>
            </w:r>
            <w:r>
              <w:t xml:space="preserve"> </w:t>
            </w:r>
            <w:r>
              <w:t xml:space="preserve">“pooled from national mortality statistics in 27 European countries … during the week of 22 to 28 June”</w:t>
            </w:r>
          </w:p>
        </w:tc>
        <w:tc>
          <w:tcPr/>
          <w:p>
            <w:pPr>
              <w:pStyle w:val="Compact"/>
              <w:jc w:val="left"/>
            </w:pPr>
            <w:r>
              <w:t xml:space="preserve">EuroMOMO via Reuters, 13 Jul 2026</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C2</w:t>
            </w:r>
          </w:p>
        </w:tc>
        <w:tc>
          <w:tcPr/>
          <w:p>
            <w:pPr>
              <w:pStyle w:val="Compact"/>
              <w:jc w:val="left"/>
            </w:pPr>
            <w:r>
              <w:t xml:space="preserve">Over 9,000 of those were aged 65 and over</w:t>
            </w:r>
          </w:p>
        </w:tc>
        <w:tc>
          <w:tcPr/>
          <w:p>
            <w:pPr>
              <w:pStyle w:val="Compact"/>
              <w:jc w:val="left"/>
            </w:pPr>
            <w:r>
              <w:t xml:space="preserve">“The vast majority — more than 9,000 — were among people aged 65 and above, according to data published by EuroMOMO”</w:t>
            </w:r>
          </w:p>
        </w:tc>
        <w:tc>
          <w:tcPr/>
          <w:p>
            <w:pPr>
              <w:pStyle w:val="Compact"/>
              <w:jc w:val="left"/>
            </w:pPr>
            <w:r>
              <w:t xml:space="preserve">EuroMOMO via Reuters</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C3</w:t>
            </w:r>
          </w:p>
        </w:tc>
        <w:tc>
          <w:tcPr/>
          <w:p>
            <w:pPr>
              <w:pStyle w:val="Compact"/>
              <w:jc w:val="left"/>
            </w:pPr>
            <w:r>
              <w:t xml:space="preserve">France and Belgium the only countries at</w:t>
            </w:r>
            <w:r>
              <w:t xml:space="preserve"> </w:t>
            </w:r>
            <w:r>
              <w:t xml:space="preserve">“very high excess”</w:t>
            </w:r>
            <w:r>
              <w:t xml:space="preserve"> </w:t>
            </w:r>
            <w:r>
              <w:t xml:space="preserve">mortality</w:t>
            </w:r>
          </w:p>
        </w:tc>
        <w:tc>
          <w:tcPr/>
          <w:p>
            <w:pPr>
              <w:pStyle w:val="Compact"/>
              <w:jc w:val="left"/>
            </w:pPr>
            <w:r>
              <w:t xml:space="preserve">“France and Belgium were the only two countries in Europe to log</w:t>
            </w:r>
            <w:r>
              <w:t xml:space="preserve"> </w:t>
            </w:r>
            <w:r>
              <w:t xml:space="preserve">‘very high excess’</w:t>
            </w:r>
            <w:r>
              <w:t xml:space="preserve"> </w:t>
            </w:r>
            <w:r>
              <w:t xml:space="preserve">mortality in the last week of June”</w:t>
            </w:r>
          </w:p>
        </w:tc>
        <w:tc>
          <w:tcPr/>
          <w:p>
            <w:pPr>
              <w:pStyle w:val="Compact"/>
              <w:jc w:val="left"/>
            </w:pPr>
            <w:r>
              <w:t xml:space="preserve">EuroMOMO via Reuters</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C4</w:t>
            </w:r>
          </w:p>
        </w:tc>
        <w:tc>
          <w:tcPr/>
          <w:p>
            <w:pPr>
              <w:pStyle w:val="Compact"/>
              <w:jc w:val="left"/>
            </w:pPr>
            <w:r>
              <w:t xml:space="preserve">France ~2,700 heat-related deaths in the June heatwave</w:t>
            </w:r>
          </w:p>
        </w:tc>
        <w:tc>
          <w:tcPr/>
          <w:p>
            <w:pPr>
              <w:pStyle w:val="Compact"/>
              <w:jc w:val="left"/>
            </w:pPr>
            <w:r>
              <w:t xml:space="preserve">“Guest post: France’s June heatwave caused more than 2,700 heat-related deaths”</w:t>
            </w:r>
          </w:p>
        </w:tc>
        <w:tc>
          <w:tcPr/>
          <w:p>
            <w:pPr>
              <w:pStyle w:val="Compact"/>
              <w:jc w:val="left"/>
            </w:pPr>
            <w:r>
              <w:t xml:space="preserve">Carbon Brief guest post, 8 Jul 2026 (Santé publique France data)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C5</w:t>
            </w:r>
          </w:p>
        </w:tc>
        <w:tc>
          <w:tcPr/>
          <w:p>
            <w:pPr>
              <w:pStyle w:val="Compact"/>
              <w:jc w:val="left"/>
            </w:pPr>
            <w:r>
              <w:t xml:space="preserve">France cut 6.3 GW of nuclear output across eight reactors, 13 June</w:t>
            </w:r>
          </w:p>
        </w:tc>
        <w:tc>
          <w:tcPr/>
          <w:p>
            <w:pPr>
              <w:pStyle w:val="Compact"/>
              <w:jc w:val="left"/>
            </w:pPr>
            <w:r>
              <w:t xml:space="preserve">“France reduced nuclear power generation by 6.3 gigawatts (GW) across eight reactors early on June 13”</w:t>
            </w:r>
            <w:r>
              <w:t xml:space="preserve"> </w:t>
            </w:r>
            <w:r>
              <w:t xml:space="preserve">— Saint-Alban 1 and 2, Bugey 3, 4 and 5, Golfech 2, Blayais 1 and 3</w:t>
            </w:r>
          </w:p>
        </w:tc>
        <w:tc>
          <w:tcPr/>
          <w:p>
            <w:pPr>
              <w:pStyle w:val="Compact"/>
              <w:jc w:val="left"/>
            </w:pPr>
            <w:r>
              <w:t xml:space="preserve">EDF / RTE via Montel, Egypt Oil &amp; Gas</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C6</w:t>
            </w:r>
          </w:p>
        </w:tc>
        <w:tc>
          <w:tcPr/>
          <w:p>
            <w:pPr>
              <w:pStyle w:val="Compact"/>
              <w:jc w:val="left"/>
            </w:pPr>
            <w:r>
              <w:t xml:space="preserve">Peak curtailment 6.2 GW on 24 June, 9.8% of the fleet</w:t>
            </w:r>
          </w:p>
        </w:tc>
        <w:tc>
          <w:tcPr/>
          <w:p>
            <w:pPr>
              <w:pStyle w:val="Compact"/>
              <w:jc w:val="left"/>
            </w:pPr>
            <w:r>
              <w:t xml:space="preserve">“curbs that peaked at 6.2 GW on June 24, or 9.8% of the fleet”</w:t>
            </w:r>
          </w:p>
        </w:tc>
        <w:tc>
          <w:tcPr/>
          <w:p>
            <w:pPr>
              <w:pStyle w:val="Compact"/>
              <w:jc w:val="left"/>
            </w:pPr>
            <w:r>
              <w:t xml:space="preserve">pv magazine analysis of RTE data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C7</w:t>
            </w:r>
          </w:p>
        </w:tc>
        <w:tc>
          <w:tcPr/>
          <w:p>
            <w:pPr>
              <w:pStyle w:val="Compact"/>
              <w:jc w:val="left"/>
            </w:pPr>
            <w:r>
              <w:t xml:space="preserve">Golfech limit: Garonne must not exceed 28 °C after discharge</w:t>
            </w:r>
          </w:p>
        </w:tc>
        <w:tc>
          <w:tcPr/>
          <w:p>
            <w:pPr>
              <w:pStyle w:val="Compact"/>
              <w:jc w:val="left"/>
            </w:pPr>
            <w:r>
              <w:t xml:space="preserve">“Regulations at the Golfech plant require that the temperature of the Garonne River not exceed 28°C after cooling water is discharged”</w:t>
            </w:r>
          </w:p>
        </w:tc>
        <w:tc>
          <w:tcPr/>
          <w:p>
            <w:pPr>
              <w:pStyle w:val="Compact"/>
              <w:jc w:val="left"/>
            </w:pPr>
            <w:r>
              <w:t xml:space="preserve">EDF regulatory limits via media</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B</w:t>
            </w:r>
          </w:p>
        </w:tc>
      </w:tr>
      <w:tr>
        <w:tc>
          <w:tcPr/>
          <w:p>
            <w:pPr>
              <w:pStyle w:val="Compact"/>
              <w:jc w:val="left"/>
            </w:pPr>
            <w:r>
              <w:t xml:space="preserve">C8</w:t>
            </w:r>
          </w:p>
        </w:tc>
        <w:tc>
          <w:tcPr/>
          <w:p>
            <w:pPr>
              <w:pStyle w:val="Compact"/>
              <w:jc w:val="left"/>
            </w:pPr>
            <w:r>
              <w:t xml:space="preserve">Paks (Hungary) cut 491 MW</w:t>
            </w:r>
          </w:p>
        </w:tc>
        <w:tc>
          <w:tcPr/>
          <w:p>
            <w:pPr>
              <w:pStyle w:val="Compact"/>
              <w:jc w:val="left"/>
            </w:pPr>
            <w:r>
              <w:t xml:space="preserve">“Hungary’s Paks Nuclear Power Plant has had to slash 491 megawatts of output due to the low water crisis”</w:t>
            </w:r>
          </w:p>
        </w:tc>
        <w:tc>
          <w:tcPr/>
          <w:p>
            <w:pPr>
              <w:pStyle w:val="Compact"/>
              <w:jc w:val="left"/>
            </w:pPr>
            <w:r>
              <w:t xml:space="preserve">Bloomberg</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r>
        <w:tc>
          <w:tcPr/>
          <w:p>
            <w:pPr>
              <w:pStyle w:val="Compact"/>
              <w:jc w:val="left"/>
            </w:pPr>
            <w:r>
              <w:t xml:space="preserve">C9</w:t>
            </w:r>
          </w:p>
        </w:tc>
        <w:tc>
          <w:tcPr/>
          <w:p>
            <w:pPr>
              <w:pStyle w:val="Compact"/>
              <w:jc w:val="left"/>
            </w:pPr>
            <w:r>
              <w:t xml:space="preserve">Cernavoda (Romania) one unit shut, plant at about half capacity</w:t>
            </w:r>
          </w:p>
        </w:tc>
        <w:tc>
          <w:tcPr/>
          <w:p>
            <w:pPr>
              <w:pStyle w:val="Compact"/>
              <w:jc w:val="left"/>
            </w:pPr>
            <w:r>
              <w:t xml:space="preserve">“Authorities have already shut down one reactor unit at the Cernavoda plant, which is operating at about half its normal capacity”</w:t>
            </w:r>
          </w:p>
        </w:tc>
        <w:tc>
          <w:tcPr/>
          <w:p>
            <w:pPr>
              <w:pStyle w:val="Compact"/>
              <w:jc w:val="left"/>
            </w:pPr>
            <w:r>
              <w:t xml:space="preserve">Bloomberg / AP</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r>
        <w:tc>
          <w:tcPr/>
          <w:p>
            <w:pPr>
              <w:pStyle w:val="Compact"/>
              <w:jc w:val="left"/>
            </w:pPr>
            <w:r>
              <w:t xml:space="preserve">C10</w:t>
            </w:r>
          </w:p>
        </w:tc>
        <w:tc>
          <w:tcPr/>
          <w:p>
            <w:pPr>
              <w:pStyle w:val="Compact"/>
              <w:jc w:val="left"/>
            </w:pPr>
            <w:r>
              <w:t xml:space="preserve">China record loads on three regional grids; Anhui peak 69.99 GW, +2.1% y/y</w:t>
            </w:r>
          </w:p>
        </w:tc>
        <w:tc>
          <w:tcPr/>
          <w:p>
            <w:pPr>
              <w:pStyle w:val="Compact"/>
              <w:jc w:val="left"/>
            </w:pPr>
            <w:r>
              <w:t xml:space="preserve">“Electricity loads reached record highs in the State Grid’s northern, northeastern and eastern regional networks”</w:t>
            </w:r>
            <w:r>
              <w:t xml:space="preserve"> </w:t>
            </w:r>
            <w:r>
              <w:t xml:space="preserve">/</w:t>
            </w:r>
            <w:r>
              <w:t xml:space="preserve"> </w:t>
            </w:r>
            <w:r>
              <w:t xml:space="preserve">“peak power demand hit a record 69.99 million kilowatts on Tuesday, up 2.1% from a year earlier”</w:t>
            </w:r>
          </w:p>
        </w:tc>
        <w:tc>
          <w:tcPr/>
          <w:p>
            <w:pPr>
              <w:pStyle w:val="Compact"/>
              <w:jc w:val="left"/>
            </w:pPr>
            <w:r>
              <w:t xml:space="preserve">State Grid Corporation of China via Reuters</w:t>
            </w:r>
          </w:p>
        </w:tc>
        <w:tc>
          <w:tcPr/>
          <w:p>
            <w:pPr>
              <w:pStyle w:val="Compact"/>
              <w:jc w:val="left"/>
            </w:pPr>
            <w:r>
              <w:t xml:space="preserve">2026-08-09</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C11</w:t>
            </w:r>
          </w:p>
        </w:tc>
        <w:tc>
          <w:tcPr/>
          <w:p>
            <w:pPr>
              <w:pStyle w:val="Compact"/>
              <w:jc w:val="left"/>
            </w:pPr>
            <w:r>
              <w:t xml:space="preserve">51.4% of England in official drought from 29 July, seven areas</w:t>
            </w:r>
          </w:p>
        </w:tc>
        <w:tc>
          <w:tcPr/>
          <w:p>
            <w:pPr>
              <w:pStyle w:val="Compact"/>
              <w:jc w:val="left"/>
            </w:pPr>
            <w:r>
              <w:t xml:space="preserve">“On 29 July 2026 the Environment Agency moved half of England, including London, into official drought status, with seven areas covering 51.4% of the country affected”</w:t>
            </w:r>
          </w:p>
        </w:tc>
        <w:tc>
          <w:tcPr/>
          <w:p>
            <w:pPr>
              <w:pStyle w:val="Compact"/>
              <w:jc w:val="left"/>
            </w:pPr>
            <w:r>
              <w:t xml:space="preserve">UK Environment Agency via House of Commons Library</w:t>
            </w:r>
          </w:p>
        </w:tc>
        <w:tc>
          <w:tcPr/>
          <w:p>
            <w:pPr>
              <w:pStyle w:val="Compact"/>
              <w:jc w:val="left"/>
            </w:pPr>
            <w:r>
              <w:t xml:space="preserve">2026-08-09</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C12</w:t>
            </w:r>
          </w:p>
        </w:tc>
        <w:tc>
          <w:tcPr/>
          <w:p>
            <w:pPr>
              <w:pStyle w:val="Compact"/>
              <w:jc w:val="left"/>
            </w:pPr>
            <w:r>
              <w:t xml:space="preserve">29.4 M customers under hosepipe restrictions</w:t>
            </w:r>
          </w:p>
        </w:tc>
        <w:tc>
          <w:tcPr/>
          <w:p>
            <w:pPr>
              <w:pStyle w:val="Compact"/>
              <w:jc w:val="left"/>
            </w:pPr>
            <w:r>
              <w:t xml:space="preserve">“more than 29.4 million customers across the UK will be prohibited from using hosepipes by the end of next week”</w:t>
            </w:r>
          </w:p>
        </w:tc>
        <w:tc>
          <w:tcPr/>
          <w:p>
            <w:pPr>
              <w:pStyle w:val="Compact"/>
              <w:jc w:val="left"/>
            </w:pPr>
            <w:r>
              <w:t xml:space="preserve">UK water companies via media</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r>
        <w:tc>
          <w:tcPr/>
          <w:p>
            <w:pPr>
              <w:pStyle w:val="Compact"/>
              <w:jc w:val="left"/>
            </w:pPr>
            <w:r>
              <w:t xml:space="preserve">C13</w:t>
            </w:r>
          </w:p>
        </w:tc>
        <w:tc>
          <w:tcPr/>
          <w:p>
            <w:pPr>
              <w:pStyle w:val="Compact"/>
              <w:jc w:val="left"/>
            </w:pPr>
            <w:r>
              <w:t xml:space="preserve">Romania used 180 kg of explosives at the Bala Canal to steer water to Cernavoda</w:t>
            </w:r>
          </w:p>
        </w:tc>
        <w:tc>
          <w:tcPr/>
          <w:p>
            <w:pPr>
              <w:pStyle w:val="Compact"/>
              <w:jc w:val="left"/>
            </w:pPr>
            <w:r>
              <w:t xml:space="preserve">“Romania’s military used 180 kilograms (397 pounds) of explosives to blast rock near the Danube’s Bala Canal in order to redirect water into the river’s main channel and toward the state-owned Cernavoda nuclear power plant”</w:t>
            </w:r>
          </w:p>
        </w:tc>
        <w:tc>
          <w:tcPr/>
          <w:p>
            <w:pPr>
              <w:pStyle w:val="Compact"/>
              <w:jc w:val="left"/>
            </w:pPr>
            <w:r>
              <w:t xml:space="preserve">Bloomberg / AP</w:t>
            </w:r>
          </w:p>
        </w:tc>
        <w:tc>
          <w:tcPr/>
          <w:p>
            <w:pPr>
              <w:pStyle w:val="Compact"/>
              <w:jc w:val="left"/>
            </w:pPr>
            <w:r>
              <w:t xml:space="preserve">2026-08-09</w:t>
            </w:r>
          </w:p>
        </w:tc>
        <w:tc>
          <w:tcPr/>
          <w:p>
            <w:pPr>
              <w:pStyle w:val="Compact"/>
              <w:jc w:val="left"/>
            </w:pPr>
            <w:r>
              <w:t xml:space="preserve">3</w:t>
            </w:r>
          </w:p>
        </w:tc>
        <w:tc>
          <w:tcPr/>
          <w:p>
            <w:pPr>
              <w:pStyle w:val="Compact"/>
              <w:jc w:val="left"/>
            </w:pPr>
            <w:r>
              <w:t xml:space="preserve">A</w:t>
            </w:r>
          </w:p>
        </w:tc>
      </w:tr>
    </w:tbl>
    <w:p>
      <w:r>
        <w:pict>
          <v:rect style="width:0;height:1.5pt" o:hralign="center" o:hrstd="t" o:hr="t"/>
        </w:pict>
      </w:r>
    </w:p>
    <w:bookmarkEnd w:id="21"/>
    <w:bookmarkStart w:id="22" w:name="deviation-log"/>
    <w:p>
      <w:pPr>
        <w:pStyle w:val="Heading2"/>
      </w:pPr>
      <w:r>
        <w:t xml:space="preserve">Deviation log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left"/>
            </w:pPr>
            <w:r>
              <w:t xml:space="preserve">Check</w:t>
            </w:r>
          </w:p>
        </w:tc>
        <w:tc>
          <w:tcPr/>
          <w:p>
            <w:pPr>
              <w:pStyle w:val="Compact"/>
              <w:jc w:val="left"/>
            </w:pPr>
            <w:r>
              <w:t xml:space="preserve">Result</w:t>
            </w:r>
          </w:p>
        </w:tc>
      </w:tr>
      <w:tr>
        <w:tc>
          <w:tcPr/>
          <w:p>
            <w:pPr>
              <w:pStyle w:val="Compact"/>
              <w:jc w:val="left"/>
            </w:pPr>
            <w:r>
              <w:t xml:space="preserve">EU burnt area</w:t>
            </w:r>
          </w:p>
        </w:tc>
        <w:tc>
          <w:tcPr/>
          <w:p>
            <w:pPr>
              <w:pStyle w:val="Compact"/>
              <w:jc w:val="left"/>
            </w:pPr>
            <w:r>
              <w:rPr>
                <w:b/>
                <w:bCs/>
              </w:rPr>
              <w:t xml:space="preserve">Secondary reporting contradicted.</w:t>
            </w:r>
            <w:r>
              <w:t xml:space="preserve"> </w:t>
            </w:r>
            <w:r>
              <w:t xml:space="preserve">A web search returned</w:t>
            </w:r>
            <w:r>
              <w:t xml:space="preserve"> </w:t>
            </w:r>
            <w:r>
              <w:t xml:space="preserve">“roughly two and a half times the 20-year average”</w:t>
            </w:r>
            <w:r>
              <w:t xml:space="preserve"> </w:t>
            </w:r>
            <w:r>
              <w:t xml:space="preserve">for EU burnt area. Querying the EFFIS statistics API directly gives 503,592 ha against a 388,828 ha average to the same date —</w:t>
            </w:r>
            <w:r>
              <w:t xml:space="preserve"> </w:t>
            </w:r>
            <w:r>
              <w:rPr>
                <w:b/>
                <w:bCs/>
              </w:rPr>
              <w:t xml:space="preserve">1.30×</w:t>
            </w:r>
            <w:r>
              <w:t xml:space="preserve">, not 2.5×. The table uses the EFFIS figure. The same search also mixed a 29 July snapshot (457,459 ha) with what appear to be figures from a different year.</w:t>
            </w:r>
          </w:p>
        </w:tc>
      </w:tr>
      <w:tr>
        <w:tc>
          <w:tcPr/>
          <w:p>
            <w:pPr>
              <w:pStyle w:val="Compact"/>
              <w:jc w:val="left"/>
            </w:pPr>
            <w:r>
              <w:t xml:space="preserve">Fire season shape</w:t>
            </w:r>
          </w:p>
        </w:tc>
        <w:tc>
          <w:tcPr/>
          <w:p>
            <w:pPr>
              <w:pStyle w:val="Compact"/>
              <w:jc w:val="left"/>
            </w:pPr>
            <w:r>
              <w:t xml:space="preserve">The headline</w:t>
            </w:r>
            <w:r>
              <w:t xml:space="preserve"> </w:t>
            </w:r>
            <w:r>
              <w:t xml:space="preserve">“record European fire season”</w:t>
            </w:r>
            <w:r>
              <w:t xml:space="preserve"> </w:t>
            </w:r>
            <w:r>
              <w:t xml:space="preserve">is not what the data shows. France (6.3×) and Spain (2.3×) are far above their own averages, but</w:t>
            </w:r>
            <w:r>
              <w:t xml:space="preserve"> </w:t>
            </w:r>
            <w:r>
              <w:rPr>
                <w:b/>
                <w:bCs/>
              </w:rPr>
              <w:t xml:space="preserve">Portugal (0.5×) and Greece (0.6×) are below theirs</w:t>
            </w:r>
            <w:r>
              <w:t xml:space="preserve">. Carbon Brief ran a factcheck on 31 July (</w:t>
            </w:r>
            <w:r>
              <w:t xml:space="preserve">“No, Europe is not having its</w:t>
            </w:r>
            <w:r>
              <w:t xml:space="preserve"> </w:t>
            </w:r>
            <w:r>
              <w:t xml:space="preserve">‘quietest’</w:t>
            </w:r>
            <w:r>
              <w:t xml:space="preserve"> </w:t>
            </w:r>
            <w:r>
              <w:t xml:space="preserve">year for wildfires”</w:t>
            </w:r>
            <w:r>
              <w:t xml:space="preserve">), so the framing was contested in both directions. The table reports the EU aggregate and the two national outliers rather than asserting a Europe-wide record.</w:t>
            </w:r>
          </w:p>
        </w:tc>
      </w:tr>
      <w:tr>
        <w:tc>
          <w:tcPr/>
          <w:p>
            <w:pPr>
              <w:pStyle w:val="Compact"/>
              <w:jc w:val="left"/>
            </w:pPr>
            <w:r>
              <w:t xml:space="preserve">France temperature</w:t>
            </w:r>
          </w:p>
        </w:tc>
        <w:tc>
          <w:tcPr/>
          <w:p>
            <w:pPr>
              <w:pStyle w:val="Compact"/>
              <w:jc w:val="left"/>
            </w:pPr>
            <w:r>
              <w:rPr>
                <w:b/>
                <w:bCs/>
              </w:rPr>
              <w:t xml:space="preserve">Unsupported figure rejected.</w:t>
            </w:r>
            <w:r>
              <w:t xml:space="preserve"> </w:t>
            </w:r>
            <w:r>
              <w:t xml:space="preserve">An early search suggested a French record near 46 °C. Météo-France’s records are a</w:t>
            </w:r>
            <w:r>
              <w:t xml:space="preserve"> </w:t>
            </w:r>
            <w:r>
              <w:rPr>
                <w:b/>
                <w:bCs/>
              </w:rPr>
              <w:t xml:space="preserve">national daily average of 29.8 °C</w:t>
            </w:r>
            <w:r>
              <w:t xml:space="preserve"> </w:t>
            </w:r>
            <w:r>
              <w:t xml:space="preserve">(24 June, all-time high for any month) and a local peak of 44.3 °C at Pissos. The table uses the national average, which is the record actually claimed.</w:t>
            </w:r>
          </w:p>
        </w:tc>
      </w:tr>
      <w:tr>
        <w:tc>
          <w:tcPr/>
          <w:p>
            <w:pPr>
              <w:pStyle w:val="Compact"/>
              <w:jc w:val="left"/>
            </w:pPr>
            <w:r>
              <w:t xml:space="preserve">Excess deaths</w:t>
            </w:r>
          </w:p>
        </w:tc>
        <w:tc>
          <w:tcPr/>
          <w:p>
            <w:pPr>
              <w:pStyle w:val="Compact"/>
              <w:jc w:val="left"/>
            </w:pPr>
            <w:r>
              <w:rPr>
                <w:b/>
                <w:bCs/>
              </w:rPr>
              <w:t xml:space="preserve">Sources differ by aggregation.</w:t>
            </w:r>
            <w:r>
              <w:t xml:space="preserve"> </w:t>
            </w:r>
            <w:r>
              <w:t xml:space="preserve">Reuters reports 10,650 for the week 22–28 June; phys.org reports</w:t>
            </w:r>
            <w:r>
              <w:t xml:space="preserve"> </w:t>
            </w:r>
            <w:r>
              <w:t xml:space="preserve">“at least 12,000”</w:t>
            </w:r>
            <w:r>
              <w:t xml:space="preserve">; another aggregation gives 14,260 for the final week of June. The table uses the week-specific EuroMOMO figure and states the week explicitly, so the basis is visible.</w:t>
            </w:r>
          </w:p>
        </w:tc>
      </w:tr>
      <w:tr>
        <w:tc>
          <w:tcPr/>
          <w:p>
            <w:pPr>
              <w:pStyle w:val="Compact"/>
              <w:jc w:val="left"/>
            </w:pPr>
            <w:r>
              <w:t xml:space="preserve">US burnt area</w:t>
            </w:r>
          </w:p>
        </w:tc>
        <w:tc>
          <w:tcPr/>
          <w:p>
            <w:pPr>
              <w:pStyle w:val="Compact"/>
              <w:jc w:val="left"/>
            </w:pPr>
            <w:r>
              <w:rPr>
                <w:b/>
                <w:bCs/>
              </w:rPr>
              <w:t xml:space="preserve">Claim dropped.</w:t>
            </w:r>
            <w:r>
              <w:t xml:space="preserve"> </w:t>
            </w:r>
            <w:r>
              <w:t xml:space="preserve">Reported year-to-date acreage ranged from</w:t>
            </w:r>
            <w:r>
              <w:t xml:space="preserve"> </w:t>
            </w:r>
            <w:r>
              <w:t xml:space="preserve">“nearly 5.2 million”</w:t>
            </w:r>
            <w:r>
              <w:t xml:space="preserve"> </w:t>
            </w:r>
            <w:r>
              <w:t xml:space="preserve">to</w:t>
            </w:r>
            <w:r>
              <w:t xml:space="preserve"> </w:t>
            </w:r>
            <w:r>
              <w:t xml:space="preserve">“more than 5.6 million”</w:t>
            </w:r>
            <w:r>
              <w:t xml:space="preserve"> </w:t>
            </w:r>
            <w:r>
              <w:t xml:space="preserve">across outlets, and NIFC’s own page does not carry a year-to-date total in text. The table therefore uses the NIFC fact that could be verified directly — National Preparedness Level 5 since 18 July — rather than a contested acreage.</w:t>
            </w:r>
          </w:p>
        </w:tc>
      </w:tr>
      <w:tr>
        <w:tc>
          <w:tcPr/>
          <w:p>
            <w:pPr>
              <w:pStyle w:val="Compact"/>
              <w:jc w:val="left"/>
            </w:pPr>
            <w:r>
              <w:t xml:space="preserve">South Korea</w:t>
            </w:r>
          </w:p>
        </w:tc>
        <w:tc>
          <w:tcPr/>
          <w:p>
            <w:pPr>
              <w:pStyle w:val="Compact"/>
              <w:jc w:val="left"/>
            </w:pPr>
            <w:r>
              <w:t xml:space="preserve">Two figures circulated for the national record: 42.5 °C and 41.4 °C. Two independent reports (phys.org, The Watchers) give 42.5 °C at Yangsan on 2 August as the all-time national high; 41.4 °C appears to be an earlier reading in the same sequence. Table uses 42.5 °C.</w:t>
            </w:r>
          </w:p>
        </w:tc>
      </w:tr>
      <w:tr>
        <w:tc>
          <w:tcPr/>
          <w:p>
            <w:pPr>
              <w:pStyle w:val="Compact"/>
              <w:jc w:val="left"/>
            </w:pPr>
            <w:r>
              <w:t xml:space="preserve">EuroMOMO country count</w:t>
            </w:r>
          </w:p>
        </w:tc>
        <w:tc>
          <w:tcPr/>
          <w:p>
            <w:pPr>
              <w:pStyle w:val="Compact"/>
              <w:jc w:val="left"/>
            </w:pPr>
            <w:r>
              <w:t xml:space="preserve">Reuters says 27 countries; EuroMOMO’s own page for week 32 lists</w:t>
            </w:r>
            <w:r>
              <w:t xml:space="preserve"> </w:t>
            </w:r>
            <w:r>
              <w:rPr>
                <w:b/>
                <w:bCs/>
              </w:rPr>
              <w:t xml:space="preserve">26</w:t>
            </w:r>
            <w:r>
              <w:t xml:space="preserve"> </w:t>
            </w:r>
            <w:r>
              <w:t xml:space="preserve">participating countries (Slovenia did not contribute). Table and source note use 26.</w:t>
            </w:r>
          </w:p>
        </w:tc>
      </w:tr>
      <w:tr>
        <w:tc>
          <w:tcPr/>
          <w:p>
            <w:pPr>
              <w:pStyle w:val="Compact"/>
              <w:jc w:val="left"/>
            </w:pPr>
            <w:r>
              <w:t xml:space="preserve">Belgium row</w:t>
            </w:r>
          </w:p>
        </w:tc>
        <w:tc>
          <w:tcPr/>
          <w:p>
            <w:pPr>
              <w:pStyle w:val="Compact"/>
              <w:jc w:val="left"/>
            </w:pPr>
            <w:r>
              <w:t xml:space="preserve">An earlier draft carried</w:t>
            </w:r>
            <w:r>
              <w:t xml:space="preserve"> </w:t>
            </w:r>
            <w:r>
              <w:t xml:space="preserve">“worst heatwave mortality since 2000”</w:t>
            </w:r>
            <w:r>
              <w:t xml:space="preserve"> </w:t>
            </w:r>
            <w:r>
              <w:t xml:space="preserve">(Sciensano) with</w:t>
            </w:r>
            <w:r>
              <w:t xml:space="preserve"> </w:t>
            </w:r>
            <w:r>
              <w:t xml:space="preserve">“highest”</w:t>
            </w:r>
            <w:r>
              <w:t xml:space="preserve"> </w:t>
            </w:r>
            <w:r>
              <w:t xml:space="preserve">in the number column, which reads poorly in a numeric field. Replaced with the France-and-Belgium</w:t>
            </w:r>
            <w:r>
              <w:t xml:space="preserve"> </w:t>
            </w:r>
            <w:r>
              <w:t xml:space="preserve">“very high excess”</w:t>
            </w:r>
            <w:r>
              <w:t xml:space="preserve"> </w:t>
            </w:r>
            <w:r>
              <w:t xml:space="preserve">fact, which is numeric (2 of 26). Sciensano removed from the source note accordingly.</w:t>
            </w:r>
          </w:p>
        </w:tc>
      </w:tr>
      <w:tr>
        <w:tc>
          <w:tcPr/>
          <w:p>
            <w:pPr>
              <w:pStyle w:val="Compact"/>
              <w:jc w:val="left"/>
            </w:pPr>
            <w:r>
              <w:t xml:space="preserve">US fire row</w:t>
            </w:r>
          </w:p>
        </w:tc>
        <w:tc>
          <w:tcPr/>
          <w:p>
            <w:pPr>
              <w:pStyle w:val="Compact"/>
              <w:jc w:val="left"/>
            </w:pPr>
            <w:r>
              <w:rPr>
                <w:b/>
                <w:bCs/>
              </w:rPr>
              <w:t xml:space="preserve">Removed 2026-08-09</w:t>
            </w:r>
            <w:r>
              <w:t xml:space="preserve"> </w:t>
            </w:r>
            <w:r>
              <w:t xml:space="preserve">at the user’s request. The United States is now unrepresented in the Fire group. The claim itself was verified (R10) and could be reinstated, or replaced with a year-to-date acreage — but see the</w:t>
            </w:r>
            <w:r>
              <w:t xml:space="preserve"> </w:t>
            </w:r>
            <w:r>
              <w:t xml:space="preserve">“US burnt area”</w:t>
            </w:r>
            <w:r>
              <w:t xml:space="preserve"> </w:t>
            </w:r>
            <w:r>
              <w:t xml:space="preserve">row above: reported acreage ranges from 5.2 M to 5.6 M across outlets and NIFC carries no year-to-date total in page text, so any acreage row would rest on contested reporting.</w:t>
            </w:r>
          </w:p>
        </w:tc>
      </w:tr>
      <w:tr>
        <w:tc>
          <w:tcPr/>
          <w:p>
            <w:pPr>
              <w:pStyle w:val="Compact"/>
              <w:jc w:val="left"/>
            </w:pPr>
            <w:r>
              <w:t xml:space="preserve">Greenland</w:t>
            </w:r>
          </w:p>
        </w:tc>
        <w:tc>
          <w:tcPr/>
          <w:p>
            <w:pPr>
              <w:pStyle w:val="Compact"/>
              <w:jc w:val="left"/>
            </w:pPr>
            <w:r>
              <w:rPr>
                <w:b/>
                <w:bCs/>
              </w:rPr>
              <w:t xml:space="preserve">Considered and excluded.</w:t>
            </w:r>
            <w:r>
              <w:t xml:space="preserve"> </w:t>
            </w:r>
            <w:r>
              <w:t xml:space="preserve">The widely-reported sixfold increase in Greenland meltwater production (12.7 → 82.4 Gt per decade) is a trend since 1990 published in</w:t>
            </w:r>
            <w:r>
              <w:t xml:space="preserve"> </w:t>
            </w:r>
            <w:r>
              <w:rPr>
                <w:i/>
                <w:iCs/>
              </w:rPr>
              <w:t xml:space="preserve">Nature Communications</w:t>
            </w:r>
            <w:r>
              <w:t xml:space="preserve">, not an event of the 2026 northern summer. It does not belong in a table of records set in a single season.</w:t>
            </w:r>
          </w:p>
        </w:tc>
      </w:tr>
      <w:tr>
        <w:tc>
          <w:tcPr/>
          <w:p>
            <w:pPr>
              <w:pStyle w:val="Compact"/>
              <w:jc w:val="left"/>
            </w:pPr>
            <w:r>
              <w:t xml:space="preserve">Glacier loss day date</w:t>
            </w:r>
          </w:p>
        </w:tc>
        <w:tc>
          <w:tcPr/>
          <w:p>
            <w:pPr>
              <w:pStyle w:val="Compact"/>
              <w:jc w:val="left"/>
            </w:pPr>
            <w:r>
              <w:t xml:space="preserve">Reports published 27 June 2026 said the threshold would be crossed</w:t>
            </w:r>
            <w:r>
              <w:t xml:space="preserve"> </w:t>
            </w:r>
            <w:r>
              <w:t xml:space="preserve">“by Monday”</w:t>
            </w:r>
            <w:r>
              <w:t xml:space="preserve">. 27 June 2026 was a Saturday, so Monday was 29 June; a later report states 29 June explicitly. Date checked rather than inferred.</w:t>
            </w:r>
          </w:p>
        </w:tc>
      </w:tr>
    </w:tbl>
    <w:bookmarkEnd w:id="22"/>
    <w:bookmarkStart w:id="23" w:name="outstanding"/>
    <w:p>
      <w:pPr>
        <w:pStyle w:val="Heading2"/>
      </w:pPr>
      <w:r>
        <w:t xml:space="preserve">Outstanding</w:t>
      </w:r>
    </w:p>
    <w:p>
      <w:pPr>
        <w:pStyle w:val="Compact"/>
        <w:numPr>
          <w:ilvl w:val="0"/>
          <w:numId w:val="1001"/>
        </w:numPr>
      </w:pPr>
      <w:r>
        <w:t xml:space="preserve">Fire and drought totals are</w:t>
      </w:r>
      <w:r>
        <w:t xml:space="preserve"> </w:t>
      </w:r>
      <w:r>
        <w:rPr>
          <w:b/>
          <w:bCs/>
        </w:rPr>
        <w:t xml:space="preserve">year-to-date and still moving</w:t>
      </w:r>
      <w:r>
        <w:t xml:space="preserve">; the northern</w:t>
      </w:r>
      <w:r>
        <w:t xml:space="preserve"> </w:t>
      </w:r>
      <w:r>
        <w:t xml:space="preserve">summer is not over. Both tables are snapshots to 8 August 2026 and are stated</w:t>
      </w:r>
      <w:r>
        <w:t xml:space="preserve"> </w:t>
      </w:r>
      <w:r>
        <w:t xml:space="preserve">as such.</w:t>
      </w:r>
    </w:p>
    <w:p>
      <w:pPr>
        <w:pStyle w:val="Compact"/>
        <w:numPr>
          <w:ilvl w:val="0"/>
          <w:numId w:val="1001"/>
        </w:numPr>
      </w:pPr>
      <w:r>
        <w:t xml:space="preserve">Several rows rest on Tier 3 reporting (Danube levels, Paks, Cernavoda,</w:t>
      </w:r>
      <w:r>
        <w:t xml:space="preserve"> </w:t>
      </w:r>
      <w:r>
        <w:t xml:space="preserve">hosepipe customer counts). Primary equivalents exist — national hydrological</w:t>
      </w:r>
      <w:r>
        <w:t xml:space="preserve"> </w:t>
      </w:r>
      <w:r>
        <w:t xml:space="preserve">services, MVM and Nuclearelectrica disclosures, Ofwat — and should be</w:t>
      </w:r>
      <w:r>
        <w:t xml:space="preserve"> </w:t>
      </w:r>
      <w:r>
        <w:t xml:space="preserve">substituted before these numbers are used anywhere load-bearing.</w:t>
      </w:r>
    </w:p>
    <w:p>
      <w:pPr>
        <w:pStyle w:val="Compact"/>
        <w:numPr>
          <w:ilvl w:val="0"/>
          <w:numId w:val="1001"/>
        </w:numPr>
      </w:pPr>
      <w:r>
        <w:t xml:space="preserve">No blind claim audit has been run.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2026-08-10T05:15:01Z</dcterms:created>
  <dcterms:modified xsi:type="dcterms:W3CDTF">2026-08-10T05:15:01Z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sl">
    <vt:lpwstr>../apa.csl</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bl-cap-location">
    <vt:lpwstr>bottom</vt:lpwstr>
  </property>
  <property fmtid="{D5CDD505-2E9C-101B-9397-08002B2CF9AE}" pid="10" name="toc-title">
    <vt:lpwstr>Table of contents</vt:lpwstr>
  </property>
</Properties>
</file>