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El Niño in Australia: rainfall and heat, season by season</w:t>
      </w:r>
    </w:p>
    <w:p>
      <w:pPr>
        <w:pStyle w:val="Subtitle"/>
      </w:pPr>
      <w:r>
        <w:t xml:space="preserve">What an El Niño year has looked like against an average year, 1951–2019</w:t>
      </w:r>
    </w:p>
    <w:p>
      <w:pPr>
        <w:pStyle w:val="Author"/>
      </w:pPr>
      <w:r>
        <w:t xml:space="preserve">Claude:Opus 5</w:t>
      </w:r>
    </w:p>
    <w:p>
      <w:pPr>
        <w:pStyle w:val="Date"/>
      </w:pPr>
      <w:r>
        <w:t xml:space="preserve">2026-08-06</w:t>
      </w:r>
    </w:p>
    <w:p>
      <w:pPr>
        <w:pStyle w:val="FirstParagraph"/>
      </w:pPr>
      <w:r>
        <w:drawing>
          <wp:inline>
            <wp:extent cx="5334000" cy="354287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figures/fig11-australia-elnino-seasonal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42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i/>
          <w:iCs/>
        </w:rPr>
        <w:t xml:space="preserve">Click the map to open it full size.</w:t>
      </w:r>
    </w:p>
    <w:p>
      <w:r>
        <w:pict>
          <v:rect style="width:0;height:1.5pt" o:hralign="center" o:hrstd="t" o:hr="t"/>
        </w:pict>
      </w:r>
    </w:p>
    <w:bookmarkStart w:id="23" w:name="how-to-read-it"/>
    <w:p>
      <w:pPr>
        <w:pStyle w:val="Heading2"/>
      </w:pPr>
      <w:r>
        <w:t xml:space="preserve">How to read it</w:t>
      </w:r>
    </w:p>
    <w:p>
      <w:pPr>
        <w:pStyle w:val="FirstParagraph"/>
      </w:pPr>
      <w:r>
        <w:t xml:space="preserve">Each panel composites the</w:t>
      </w:r>
      <w:r>
        <w:t xml:space="preserve"> </w:t>
      </w:r>
      <w:r>
        <w:rPr>
          <w:b/>
          <w:bCs/>
        </w:rPr>
        <w:t xml:space="preserve">23 El Niño events since 1951</w:t>
      </w:r>
      <w:r>
        <w:t xml:space="preserve">, taking the median</w:t>
      </w:r>
      <w:r>
        <w:t xml:space="preserve"> </w:t>
      </w:r>
      <w:r>
        <w:t xml:space="preserve">across events. Every value is measured against a 31-year local baseline, so the</w:t>
      </w:r>
      <w:r>
        <w:t xml:space="preserve"> </w:t>
      </w:r>
      <w:r>
        <w:t xml:space="preserve">long-term warming trend is removed and what remains is the El Niño signal itself</w:t>
      </w:r>
      <w:r>
        <w:t xml:space="preserve"> </w:t>
      </w:r>
      <w:r>
        <w:t xml:space="preserve">rather than the background climate.</w:t>
      </w:r>
    </w:p>
    <w:p>
      <w:pPr>
        <w:pStyle w:val="BodyText"/>
      </w:pPr>
      <w:r>
        <w:rPr>
          <w:b/>
          <w:bCs/>
        </w:rPr>
        <w:t xml:space="preserve">Stippling marks disagreement.</w:t>
      </w:r>
      <w:r>
        <w:t xml:space="preserve"> </w:t>
      </w:r>
      <w:r>
        <w:t xml:space="preserve">Where fewer than 60% of the 23 events moved in</w:t>
      </w:r>
      <w:r>
        <w:t xml:space="preserve"> </w:t>
      </w:r>
      <w:r>
        <w:t xml:space="preserve">the same direction, the cell is stippled. This matters more than it might appear:</w:t>
      </w:r>
      <w:r>
        <w:t xml:space="preserve"> </w:t>
      </w:r>
      <w:r>
        <w:t xml:space="preserve">the colour on an unstippled cell reflects something most events did, while the</w:t>
      </w:r>
      <w:r>
        <w:t xml:space="preserve"> </w:t>
      </w:r>
      <w:r>
        <w:t xml:space="preserve">same colour on a stippled cell is an average of years that pulled both ways.</w:t>
      </w:r>
    </w:p>
    <w:p>
      <w:pPr>
        <w:pStyle w:val="BodyText"/>
      </w:pPr>
      <w:r>
        <w:t xml:space="preserve">Grid cells are noisier than regional averages, so a stippled patch can still sit</w:t>
      </w:r>
      <w:r>
        <w:t xml:space="preserve"> </w:t>
      </w:r>
      <w:r>
        <w:t xml:space="preserve">inside a region whose area-averaged signal is consistent.</w:t>
      </w:r>
    </w:p>
    <w:bookmarkEnd w:id="23"/>
    <w:bookmarkStart w:id="24" w:name="what-it-shows"/>
    <w:p>
      <w:pPr>
        <w:pStyle w:val="Heading2"/>
      </w:pPr>
      <w:r>
        <w:t xml:space="preserve">What it shows</w:t>
      </w:r>
    </w:p>
    <w:p>
      <w:pPr>
        <w:pStyle w:val="FirstParagraph"/>
      </w:pPr>
      <w:r>
        <w:rPr>
          <w:b/>
          <w:bCs/>
        </w:rPr>
        <w:t xml:space="preserve">Rainfall is seasonal, not annual.</w:t>
      </w:r>
      <w:r>
        <w:t xml:space="preserve"> </w:t>
      </w:r>
      <w:r>
        <w:t xml:space="preserve">Winter dries the tropical north and leaves</w:t>
      </w:r>
      <w:r>
        <w:t xml:space="preserve"> </w:t>
      </w:r>
      <w:r>
        <w:t xml:space="preserve">the southern margins largely alone. Spring spreads the deficit across almost the</w:t>
      </w:r>
      <w:r>
        <w:t xml:space="preserve"> </w:t>
      </w:r>
      <w:r>
        <w:t xml:space="preserve">whole continent — and is the most consistent signal on the map, with fewer than</w:t>
      </w:r>
      <w:r>
        <w:t xml:space="preserve"> </w:t>
      </w:r>
      <w:r>
        <w:t xml:space="preserve">3% of cells stippled. By summer the east has largely recovered while the</w:t>
      </w:r>
      <w:r>
        <w:t xml:space="preserve"> </w:t>
      </w:r>
      <w:r>
        <w:t xml:space="preserve">north-west has not, because El Niño suppresses the tropical cyclones and delays</w:t>
      </w:r>
      <w:r>
        <w:t xml:space="preserve"> </w:t>
      </w:r>
      <w:r>
        <w:t xml:space="preserve">the monsoon that deliver most of that region’s annual rain.</w:t>
      </w:r>
    </w:p>
    <w:p>
      <w:pPr>
        <w:pStyle w:val="BodyText"/>
      </w:pPr>
      <w:r>
        <w:rPr>
          <w:b/>
          <w:bCs/>
        </w:rPr>
        <w:t xml:space="preserve">The impact is regional, not national.</w:t>
      </w:r>
      <w:r>
        <w:t xml:space="preserve"> </w:t>
      </w:r>
      <w:r>
        <w:t xml:space="preserve">The deepest and most reliable drying</w:t>
      </w:r>
      <w:r>
        <w:t xml:space="preserve"> </w:t>
      </w:r>
      <w:r>
        <w:t xml:space="preserve">sits in the north and east. Tasmania and south-west Western Australia are barely</w:t>
      </w:r>
      <w:r>
        <w:t xml:space="preserve"> </w:t>
      </w:r>
      <w:r>
        <w:t xml:space="preserve">touched — their rainfall is governed more by the Southern Annular Mode and the</w:t>
      </w:r>
      <w:r>
        <w:t xml:space="preserve"> </w:t>
      </w:r>
      <w:r>
        <w:t xml:space="preserve">Indian Ocean than by the Pacific.</w:t>
      </w:r>
    </w:p>
    <w:p>
      <w:pPr>
        <w:pStyle w:val="BodyText"/>
      </w:pPr>
      <w:r>
        <w:rPr>
          <w:b/>
          <w:bCs/>
        </w:rPr>
        <w:t xml:space="preserve">Heat builds in the opposite direction to rainfall.</w:t>
      </w:r>
      <w:r>
        <w:t xml:space="preserve"> </w:t>
      </w:r>
      <w:r>
        <w:t xml:space="preserve">The temperature signal is</w:t>
      </w:r>
      <w:r>
        <w:t xml:space="preserve"> </w:t>
      </w:r>
      <w:r>
        <w:t xml:space="preserve">weak and inconsistent in winter — more than 40% of cells are stippled, so an El</w:t>
      </w:r>
      <w:r>
        <w:t xml:space="preserve"> </w:t>
      </w:r>
      <w:r>
        <w:t xml:space="preserve">Niño winter is not dependably a warm one — then strengthens through spring across</w:t>
      </w:r>
      <w:r>
        <w:t xml:space="preserve"> </w:t>
      </w:r>
      <w:r>
        <w:t xml:space="preserve">the south-east and through summer across the north.</w:t>
      </w:r>
    </w:p>
    <w:bookmarkEnd w:id="24"/>
    <w:bookmarkStart w:id="26" w:name="what-it-is-not"/>
    <w:p>
      <w:pPr>
        <w:pStyle w:val="Heading2"/>
      </w:pPr>
      <w:r>
        <w:t xml:space="preserve">What it is not</w:t>
      </w:r>
    </w:p>
    <w:p>
      <w:pPr>
        <w:pStyle w:val="FirstParagraph"/>
      </w:pPr>
      <w:r>
        <w:t xml:space="preserve">This is a description of what past events did, not a forecast. Across the same</w:t>
      </w:r>
      <w:r>
        <w:t xml:space="preserve"> </w:t>
      </w:r>
      <w:r>
        <w:t xml:space="preserve">24 events, the correlation between how large an El Niño gets in the Pacific and</w:t>
      </w:r>
      <w:r>
        <w:t xml:space="preserve"> </w:t>
      </w:r>
      <w:r>
        <w:t xml:space="preserve">how dry the Australian spring turns out is close to zero. A bigger event in the</w:t>
      </w:r>
      <w:r>
        <w:t xml:space="preserve"> </w:t>
      </w:r>
      <w:r>
        <w:t xml:space="preserve">Pacific does not reliably mean a drier year here.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Data: Bureau of Meteorology Australian Gridded Climate Data (AGCD) at 5 km,</w:t>
      </w:r>
      <w:r>
        <w:rPr>
          <w:i/>
          <w:iCs/>
        </w:rPr>
        <w:t xml:space="preserve"> </w:t>
      </w:r>
      <w:r>
        <w:rPr>
          <w:i/>
          <w:iCs/>
        </w:rPr>
        <w:t xml:space="preserve">aggregated to 25 km; event dates from the NOAA Climate Prediction Center Oceanic</w:t>
      </w:r>
      <w:r>
        <w:rPr>
          <w:i/>
          <w:iCs/>
        </w:rPr>
        <w:t xml:space="preserve"> </w:t>
      </w:r>
      <w:r>
        <w:rPr>
          <w:i/>
          <w:iCs/>
        </w:rPr>
        <w:t xml:space="preserve">Niño Index. The map covers 23 of the 24 events since 1951 — the AGCD collection</w:t>
      </w:r>
      <w:r>
        <w:rPr>
          <w:i/>
          <w:iCs/>
        </w:rPr>
        <w:t xml:space="preserve"> </w:t>
      </w:r>
      <w:r>
        <w:rPr>
          <w:i/>
          <w:iCs/>
        </w:rPr>
        <w:t xml:space="preserve">used ends at 2020, so the 2023–24 event is not included.</w:t>
      </w:r>
    </w:p>
    <w:p>
      <w:pPr>
        <w:pStyle w:val="BodyText"/>
      </w:pPr>
      <w:r>
        <w:rPr>
          <w:i/>
          <w:iCs/>
        </w:rPr>
        <w:t xml:space="preserve">The map also appears in context in</w:t>
      </w:r>
      <w:r>
        <w:rPr>
          <w:i/>
          <w:iCs/>
        </w:rPr>
        <w:t xml:space="preserve"> </w:t>
      </w:r>
      <w:hyperlink r:id="rId25">
        <w:r>
          <w:rPr>
            <w:rStyle w:val="Hyperlink"/>
            <w:i/>
            <w:iCs/>
          </w:rPr>
          <w:t xml:space="preserve">El Niño, La Niña and ENSO</w:t>
        </w:r>
      </w:hyperlink>
      <w:r>
        <w:rPr>
          <w:i/>
          <w:iCs/>
        </w:rPr>
        <w:t xml:space="preserve">, which explains how the</w:t>
      </w:r>
      <w:r>
        <w:rPr>
          <w:i/>
          <w:iCs/>
        </w:rPr>
        <w:t xml:space="preserve"> </w:t>
      </w:r>
      <w:r>
        <w:rPr>
          <w:i/>
          <w:iCs/>
        </w:rPr>
        <w:t xml:space="preserve">phenomenon works and how to read the charts it generates.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W w:type="pct" w:w="5000"/>
      <w:tblInd w:type="dxa" w:w="0"/>
      <w:tblCellMar>
        <w:top w:type="dxa" w:w="0"/>
        <w:left w:type="dxa" w:w="72"/>
        <w:bottom w:type="dxa" w:w="0"/>
        <w:right w:type="dxa" w:w="72"/>
      </w:tblCellMar>
    </w:tblPr>
    <w:rPr>
      <w:rFonts w:ascii="Arial Narrow" w:hAnsi="Arial Narrow"/>
      <w:sz w:val="18"/>
      <w:szCs w:val="18"/>
    </w:r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ENSO-explainer.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ENSO-explainer.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Niño in Australia: rainfall and heat, season by season</dc:title>
  <dc:creator>Claude:Opus 5</dc:creator>
  <cp:keywords/>
  <dcterms:created xsi:type="dcterms:W3CDTF">2026-08-06T08:55:11Z</dcterms:created>
  <dcterms:modified xsi:type="dcterms:W3CDTF">2026-08-06T08:55:11Z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ibliography">
    <vt:lpwstr/>
  </property>
  <property fmtid="{D5CDD505-2E9C-101B-9397-08002B2CF9AE}" pid="5" name="by-author">
    <vt:lpwstr/>
  </property>
  <property fmtid="{D5CDD505-2E9C-101B-9397-08002B2CF9AE}" pid="6" name="categories">
    <vt:lpwstr/>
  </property>
  <property fmtid="{D5CDD505-2E9C-101B-9397-08002B2CF9AE}" pid="7" name="csl">
    <vt:lpwstr>../apa.csl</vt:lpwstr>
  </property>
  <property fmtid="{D5CDD505-2E9C-101B-9397-08002B2CF9AE}" pid="8" name="date">
    <vt:lpwstr>2026-08-06</vt:lpwstr>
  </property>
  <property fmtid="{D5CDD505-2E9C-101B-9397-08002B2CF9AE}" pid="9" name="header-includes">
    <vt:lpwstr/>
  </property>
  <property fmtid="{D5CDD505-2E9C-101B-9397-08002B2CF9AE}" pid="10" name="include-after">
    <vt:lpwstr/>
  </property>
  <property fmtid="{D5CDD505-2E9C-101B-9397-08002B2CF9AE}" pid="11" name="include-before">
    <vt:lpwstr/>
  </property>
  <property fmtid="{D5CDD505-2E9C-101B-9397-08002B2CF9AE}" pid="12" name="labels">
    <vt:lpwstr/>
  </property>
  <property fmtid="{D5CDD505-2E9C-101B-9397-08002B2CF9AE}" pid="13" name="lightbox">
    <vt:lpwstr>True</vt:lpwstr>
  </property>
  <property fmtid="{D5CDD505-2E9C-101B-9397-08002B2CF9AE}" pid="14" name="page-layout">
    <vt:lpwstr>full</vt:lpwstr>
  </property>
  <property fmtid="{D5CDD505-2E9C-101B-9397-08002B2CF9AE}" pid="15" name="subtitle">
    <vt:lpwstr>What an El Niño year has looked like against an average year, 1951–2019</vt:lpwstr>
  </property>
  <property fmtid="{D5CDD505-2E9C-101B-9397-08002B2CF9AE}" pid="16" name="tbl-cap-location">
    <vt:lpwstr>bottom</vt:lpwstr>
  </property>
  <property fmtid="{D5CDD505-2E9C-101B-9397-08002B2CF9AE}" pid="17" name="toc-title">
    <vt:lpwstr>Table of contents</vt:lpwstr>
  </property>
</Properties>
</file>