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Neosmelt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2025-06-10</w:t>
      </w:r>
    </w:p>
    <w:p>
      <w:pPr>
        <w:pStyle w:val="CaptionedFigure"/>
      </w:pPr>
      <w:r>
        <w:drawing>
          <wp:inline>
            <wp:extent cx="5334000" cy="1221036"/>
            <wp:effectExtent b="0" l="0" r="0" t="0"/>
            <wp:docPr descr="Neosmelt concept. Source:Bluescope" title="" id="21" name="Picture"/>
            <a:graphic>
              <a:graphicData uri="http://schemas.openxmlformats.org/drawingml/2006/picture">
                <pic:pic>
                  <pic:nvPicPr>
                    <pic:cNvPr descr="../media/image-2025060911530622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21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Neosmelt concept. Source:Bluescope</w:t>
      </w:r>
    </w:p>
    <w:bookmarkStart w:id="24" w:name="X7098d687fd18c38d414d115c351e6c01b53eae4"/>
    <w:p>
      <w:pPr>
        <w:pStyle w:val="Heading2"/>
      </w:pPr>
      <w:r>
        <w:t xml:space="preserve">NeoSmelt - Steel makers are taking it seriously in Australia</w:t>
      </w:r>
    </w:p>
    <w:p>
      <w:pPr>
        <w:pStyle w:val="FirstParagraph"/>
      </w:pPr>
      <w:r>
        <w:t xml:space="preserve">I didn’t realise how far the process of an ESF had progressed in Australia. Although a final investment decision(FID ) wont be made until 2026 and even the feasibility decisions won’t be made until Q2 2025, the interesting news is that BHP RIO and Bluescope have formed a consortium with the plan to build a 30,000 to 40,000 tonne per year ESF facility. More recently for reasons best known to the other participants Woodside has joined the consortium. I want to say at the outset that the consortium cannot be improved by having Woodside included. It pretty much means that the partners wont be aligned but nevertheless.</w:t>
      </w:r>
    </w:p>
    <w:p>
      <w:pPr>
        <w:pStyle w:val="BodyText"/>
      </w:pPr>
      <w:r>
        <w:t xml:space="preserve">$75 m of funding has been provided by the WA Govt. However the project has yet to reach FID so it’s not a rapid journey. Stegra is far advanced.</w:t>
      </w:r>
    </w:p>
    <w:p>
      <w:pPr>
        <w:pStyle w:val="BodyText"/>
      </w:pPr>
      <w:r>
        <w:t xml:space="preserve">30-40 kt is small of course relative to Australia’s total iron ore exports of close to 900 million tons but its never the less a big investment</w:t>
      </w:r>
    </w:p>
    <w:p>
      <w:pPr>
        <w:pStyle w:val="BodyText"/>
      </w:pPr>
      <w:r>
        <w:t xml:space="preserve">Its worth watching the Youtube of the</w:t>
      </w:r>
      <w:r>
        <w:t xml:space="preserve"> </w:t>
      </w:r>
      <w:hyperlink r:id="rId23">
        <w:r>
          <w:rPr>
            <w:rStyle w:val="Hyperlink"/>
          </w:rPr>
          <w:t xml:space="preserve">announcement</w:t>
        </w:r>
      </w:hyperlink>
    </w:p>
    <w:bookmarkEnd w:id="2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hyperlink" Id="rId23" Target="https://www.youtube.com/watch?v=HrsIDh7r3Qo&amp;t=129s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3" Target="https://www.youtube.com/watch?v=HrsIDh7r3Qo&amp;t=129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Neosmelt</dc:title>
  <dc:creator>David Leitch</dc:creator>
  <cp:keywords/>
  <dcterms:created xsi:type="dcterms:W3CDTF">2025-06-09T07:36:02Z</dcterms:created>
  <dcterms:modified xsi:type="dcterms:W3CDTF">2025-06-09T07:36:02Z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2025-06-10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../media/image-20250511135138607.png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sidebar">
    <vt:lpwstr>greeniron</vt:lpwstr>
  </property>
  <property fmtid="{D5CDD505-2E9C-101B-9397-08002B2CF9AE}" pid="15" name="toc-title">
    <vt:lpwstr>Table of contents</vt:lpwstr>
  </property>
</Properties>
</file>