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Move over once, move over twice</w:t>
      </w:r>
    </w:p>
    <w:p>
      <w:pPr>
        <w:pStyle w:val="Author"/>
      </w:pPr>
      <w:r>
        <w:t xml:space="preserve">David Leitch</w:t>
      </w:r>
    </w:p>
    <w:p>
      <w:pPr>
        <w:pStyle w:val="Date"/>
      </w:pPr>
      <w:r>
        <w:t xml:space="preserve">2024-02-26</w:t>
      </w:r>
    </w:p>
    <w:bookmarkStart w:id="29" w:name="crossing-over-in-2025-the-way-to-2030"/>
    <w:p>
      <w:pPr>
        <w:pStyle w:val="Heading1"/>
      </w:pPr>
      <w:r>
        <w:t xml:space="preserve">Crossing over in 2025 the way to 2030</w:t>
      </w:r>
    </w:p>
    <w:p>
      <w:pPr>
        <w:pStyle w:val="CaptionedFigure"/>
      </w:pPr>
      <w:r>
        <w:drawing>
          <wp:inline>
            <wp:extent cx="5334000" cy="1181582"/>
            <wp:effectExtent b="0" l="0" r="0" t="0"/>
            <wp:docPr descr="Under construction,Source:wwww.renewmap.com" title="" id="21" name="Picture"/>
            <a:graphic>
              <a:graphicData uri="http://schemas.openxmlformats.org/drawingml/2006/picture">
                <pic:pic>
                  <pic:nvPicPr>
                    <pic:cNvPr descr="../../media/image-20240226150501686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18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Under construction,Source:wwww.renewmap.com</w:t>
      </w:r>
    </w:p>
    <w:p>
      <w:pPr>
        <w:pStyle w:val="CaptionedFigure"/>
      </w:pPr>
      <w:r>
        <w:drawing>
          <wp:inline>
            <wp:extent cx="5334000" cy="2724354"/>
            <wp:effectExtent b="0" l="0" r="0" t="0"/>
            <wp:docPr descr="Progress,source: NEM review" title="" id="24" name="Picture"/>
            <a:graphic>
              <a:graphicData uri="http://schemas.openxmlformats.org/drawingml/2006/picture">
                <pic:pic>
                  <pic:nvPicPr>
                    <pic:cNvPr descr="../../media/image-2024022615235929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243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Progress,source: NEM review</w:t>
      </w:r>
    </w:p>
    <w:p>
      <w:pPr>
        <w:pStyle w:val="CaptionedFigure"/>
      </w:pPr>
      <w:r>
        <w:drawing>
          <wp:inline>
            <wp:extent cx="5334000" cy="3134993"/>
            <wp:effectExtent b="0" l="0" r="0" t="0"/>
            <wp:docPr descr="Over 50% in late 2025, source: ITK estimates" title="" id="27" name="Picture"/>
            <a:graphic>
              <a:graphicData uri="http://schemas.openxmlformats.org/drawingml/2006/picture">
                <pic:pic>
                  <pic:nvPicPr>
                    <pic:cNvPr descr="../../media/image-2024022615251945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349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Over 50% in late 2025, source: ITK estimates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 over once, move over twice</dc:title>
  <dc:creator>David Leitch</dc:creator>
  <cp:keywords/>
  <dcterms:created xsi:type="dcterms:W3CDTF">2026-02-20T01:04:38Z</dcterms:created>
  <dcterms:modified xsi:type="dcterms:W3CDTF">2026-02-20T01:04:38Z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ategories">
    <vt:lpwstr/>
  </property>
  <property fmtid="{D5CDD505-2E9C-101B-9397-08002B2CF9AE}" pid="7" name="csl">
    <vt:lpwstr>../../apa.csl</vt:lpwstr>
  </property>
  <property fmtid="{D5CDD505-2E9C-101B-9397-08002B2CF9AE}" pid="8" name="date">
    <vt:lpwstr>2024-02-26</vt:lpwstr>
  </property>
  <property fmtid="{D5CDD505-2E9C-101B-9397-08002B2CF9AE}" pid="9" name="draft">
    <vt:lpwstr>False</vt:lpwstr>
  </property>
  <property fmtid="{D5CDD505-2E9C-101B-9397-08002B2CF9AE}" pid="10" name="header-includes">
    <vt:lpwstr/>
  </property>
  <property fmtid="{D5CDD505-2E9C-101B-9397-08002B2CF9AE}" pid="11" name="image">
    <vt:lpwstr>../../media/image-20240226152519459.png</vt:lpwstr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lightbox">
    <vt:lpwstr>True</vt:lpwstr>
  </property>
  <property fmtid="{D5CDD505-2E9C-101B-9397-08002B2CF9AE}" pid="16" name="tbl-cap-location">
    <vt:lpwstr>bottom</vt:lpwstr>
  </property>
  <property fmtid="{D5CDD505-2E9C-101B-9397-08002B2CF9AE}" pid="17" name="title-block-banner">
    <vt:lpwstr>True</vt:lpwstr>
  </property>
  <property fmtid="{D5CDD505-2E9C-101B-9397-08002B2CF9AE}" pid="18" name="toc-title">
    <vt:lpwstr>Table of contents</vt:lpwstr>
  </property>
</Properties>
</file>