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Nelson Review</w:t>
      </w:r>
    </w:p>
    <w:bookmarkStart w:id="20" w:name="background"/>
    <w:p>
      <w:pPr>
        <w:pStyle w:val="Heading2"/>
      </w:pPr>
      <w:r>
        <w:t xml:space="preserve">Background</w:t>
      </w:r>
    </w:p>
    <w:p>
      <w:pPr>
        <w:pStyle w:val="Compact"/>
        <w:numPr>
          <w:ilvl w:val="0"/>
          <w:numId w:val="1001"/>
        </w:numPr>
      </w:pPr>
      <w:r>
        <w:t xml:space="preserve">spot pressure</w:t>
      </w:r>
    </w:p>
    <w:p>
      <w:pPr>
        <w:pStyle w:val="Compact"/>
        <w:numPr>
          <w:ilvl w:val="0"/>
          <w:numId w:val="1001"/>
        </w:numPr>
      </w:pPr>
      <w:r>
        <w:t xml:space="preserve">investment barriers</w:t>
      </w:r>
    </w:p>
    <w:p>
      <w:pPr>
        <w:pStyle w:val="Compact"/>
        <w:numPr>
          <w:ilvl w:val="0"/>
          <w:numId w:val="1001"/>
        </w:numPr>
      </w:pPr>
      <w:r>
        <w:t xml:space="preserve">contract liquidity</w:t>
      </w:r>
    </w:p>
    <w:bookmarkEnd w:id="20"/>
    <w:bookmarkStart w:id="21" w:name="recommendations"/>
    <w:p>
      <w:pPr>
        <w:pStyle w:val="Heading2"/>
      </w:pPr>
      <w:r>
        <w:t xml:space="preserve">Recommendations</w:t>
      </w:r>
    </w:p>
    <w:p>
      <w:pPr>
        <w:pStyle w:val="Compact"/>
        <w:numPr>
          <w:ilvl w:val="0"/>
          <w:numId w:val="1002"/>
        </w:numPr>
      </w:pPr>
      <w:r>
        <w:t xml:space="preserve">Price responsive ressources (demand response, behind the meter batteries) must be visible and enhances the voluntary scheduled resource (VSR)</w:t>
      </w:r>
    </w:p>
    <w:p>
      <w:pPr>
        <w:pStyle w:val="Compact"/>
        <w:numPr>
          <w:ilvl w:val="0"/>
          <w:numId w:val="1003"/>
        </w:numPr>
      </w:pPr>
      <w:r>
        <w:t xml:space="preserve">Address excess rebidding and algo bidding,</w:t>
      </w:r>
    </w:p>
    <w:p>
      <w:pPr>
        <w:pStyle w:val="Compact"/>
        <w:numPr>
          <w:ilvl w:val="0"/>
          <w:numId w:val="1004"/>
        </w:numPr>
      </w:pPr>
      <w:r>
        <w:t xml:space="preserve">Revisit the price limit constants</w:t>
      </w:r>
    </w:p>
    <w:p>
      <w:pPr>
        <w:pStyle w:val="Compact"/>
        <w:numPr>
          <w:ilvl w:val="0"/>
          <w:numId w:val="1005"/>
        </w:numPr>
      </w:pPr>
      <w:r>
        <w:t xml:space="preserve">Always on derivative market, like an NYSE market maker</w:t>
      </w:r>
    </w:p>
    <w:p>
      <w:pPr>
        <w:pStyle w:val="Compact"/>
        <w:numPr>
          <w:ilvl w:val="0"/>
          <w:numId w:val="1006"/>
        </w:numPr>
      </w:pPr>
      <w:r>
        <w:t xml:space="preserve">ESEM (Electricity services entry mechanism) . Govt policies should be aligned with the ESEM</w:t>
      </w:r>
    </w:p>
    <w:p>
      <w:pPr>
        <w:pStyle w:val="Compact"/>
        <w:numPr>
          <w:ilvl w:val="1"/>
          <w:numId w:val="1007"/>
        </w:numPr>
      </w:pPr>
      <w:r>
        <w:t xml:space="preserve">Energy</w:t>
      </w:r>
    </w:p>
    <w:p>
      <w:pPr>
        <w:pStyle w:val="Compact"/>
        <w:numPr>
          <w:ilvl w:val="1"/>
          <w:numId w:val="1008"/>
        </w:numPr>
      </w:pPr>
      <w:r>
        <w:t xml:space="preserve">Shaping</w:t>
      </w:r>
    </w:p>
    <w:p>
      <w:pPr>
        <w:pStyle w:val="Compact"/>
        <w:numPr>
          <w:ilvl w:val="1"/>
          <w:numId w:val="1009"/>
        </w:numPr>
      </w:pPr>
      <w:r>
        <w:t xml:space="preserve">Firming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2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2026-02-20T01:07:11Z</dcterms:created>
  <dcterms:modified xsi:type="dcterms:W3CDTF">2026-02-20T01:07:11Z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itle-block-banner">
    <vt:lpwstr>True</vt:lpwstr>
  </property>
  <property fmtid="{D5CDD505-2E9C-101B-9397-08002B2CF9AE}" pid="11" name="toc-title">
    <vt:lpwstr>Table of contents</vt:lpwstr>
  </property>
</Properties>
</file>