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a4f9883ab233fc0c5cd791548f978878ae56e4"/>
    <w:p>
      <w:pPr>
        <w:pStyle w:val="Heading2"/>
      </w:pPr>
      <w:r>
        <w:t xml:space="preserve">Anthropic is profitable, everyone else is unprofitable</w:t>
      </w:r>
    </w:p>
    <w:p>
      <w:pPr>
        <w:pStyle w:val="FirstParagraph"/>
      </w:pPr>
      <w:r>
        <w:t xml:space="preserve">Anthropic is able to price its AI much higher than competitors and still gain market share. It appears that users once they switch to Anthropic are relatively sticky.</w:t>
      </w:r>
    </w:p>
    <w:p>
      <w:pPr>
        <w:pStyle w:val="BodyText"/>
      </w:pPr>
      <w:r>
        <w:t xml:space="preserve">In this note I look at the price premium evidence and the explanations.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2026-07-23T03:57:53Z</dcterms:created>
  <dcterms:modified xsi:type="dcterms:W3CDTF">2026-07-23T03:57:53Z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itle-block-banner">
    <vt:lpwstr>True</vt:lpwstr>
  </property>
  <property fmtid="{D5CDD505-2E9C-101B-9397-08002B2CF9AE}" pid="11" name="toc-title">
    <vt:lpwstr>Table of contents</vt:lpwstr>
  </property>
</Properties>
</file>