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0.png" ContentType="image/png"/>
  <Override PartName="/word/media/rId26.png" ContentType="image/png"/>
  <Override PartName="/word/media/rId29.png" ContentType="image/png"/>
  <Override PartName="/word/media/rId3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CIS Dash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2025-07-08</w:t>
      </w:r>
    </w:p>
    <w:bookmarkStart w:id="35" w:name="tracking-23-gw-by-2030"/>
    <w:p>
      <w:pPr>
        <w:pStyle w:val="Heading1"/>
      </w:pPr>
      <w:r>
        <w:t xml:space="preserve">Tracking 23 GW by 2030</w:t>
      </w:r>
    </w:p>
    <w:p>
      <w:pPr>
        <w:pStyle w:val="FirstParagraph"/>
      </w:pPr>
      <w:r>
        <w:t xml:space="preserve">A key issue in Australia is decarbonising electricity. Along the journey we have found many obstacles but maintained the pace.</w:t>
      </w:r>
    </w:p>
    <w:p>
      <w:pPr>
        <w:pStyle w:val="BodyText"/>
      </w:pPr>
      <w:r>
        <w:t xml:space="preserve">Using data from Global Roam’s NEM Review and using a 180 day moving average, which lags a little bit but also shows the seasonality we can see at once how far we’ve come and how far we have to go. We are not yet half way.</w:t>
      </w:r>
    </w:p>
    <w:p>
      <w:pPr>
        <w:pStyle w:val="CaptionedFigure"/>
      </w:pPr>
      <w:r>
        <w:drawing>
          <wp:inline>
            <wp:extent cx="5334000" cy="2925573"/>
            <wp:effectExtent b="0" l="0" r="0" t="0"/>
            <wp:docPr descr="Data:Global Roam" title="" id="21" name="Picture"/>
            <a:graphic>
              <a:graphicData uri="http://schemas.openxmlformats.org/drawingml/2006/picture">
                <pic:pic>
                  <pic:nvPicPr>
                    <pic:cNvPr descr="../media/image-2025070807470823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5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Data:Global Roam</w:t>
      </w:r>
    </w:p>
    <w:p>
      <w:pPr>
        <w:pStyle w:val="BodyText"/>
      </w:pPr>
      <w:r>
        <w:t xml:space="preserve">For those that are interested and using ITK’s forecasting model we predict this figure will develop as shown below. The figure is a meld of the history, shown above, with ITK’s half hourly forecasts from our forecasting model.</w:t>
      </w:r>
    </w:p>
    <w:p>
      <w:pPr>
        <w:pStyle w:val="CaptionedFigure"/>
      </w:pPr>
      <w:r>
        <w:drawing>
          <wp:inline>
            <wp:extent cx="5334000" cy="2536186"/>
            <wp:effectExtent b="0" l="0" r="0" t="0"/>
            <wp:docPr descr="History: Global Roam, Fast, ITK" title="" id="24" name="Picture"/>
            <a:graphic>
              <a:graphicData uri="http://schemas.openxmlformats.org/drawingml/2006/picture">
                <pic:pic>
                  <pic:nvPicPr>
                    <pic:cNvPr descr="../media/image-2025061311110956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1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History: Global Roam, Fast, ITK</w:t>
      </w:r>
    </w:p>
    <w:p>
      <w:pPr>
        <w:pStyle w:val="BodyText"/>
      </w:pPr>
      <w:r>
        <w:t xml:space="preserve">The biggest policy driver between now and 2030 is the Federal Govt’s CIS. Although there are separate tenders for dispatchible power, which in practice mostly means batteries, and energy I focus very heavily on the energy component. That calls for 23 GW of new wind and solar to be operational by 2030.</w:t>
      </w:r>
    </w:p>
    <w:p>
      <w:pPr>
        <w:pStyle w:val="BodyText"/>
      </w:pPr>
      <w:r>
        <w:t xml:space="preserve">After having said a couple of times on the EnergyInsiders podcast that none of the 6 GW awarded in the first 6 GW of energy to receive a Stage A grant, had yet reached FID (Final Investment Decision) I was contacted by someone that actually knows what they are talking about to point out that two solar projects have indeed reached FID, one a small solar project, is operating, and a larger one has entered construction.</w:t>
      </w:r>
    </w:p>
    <w:p>
      <w:pPr>
        <w:pStyle w:val="BodyText"/>
      </w:pPr>
      <w:r>
        <w:t xml:space="preserve">As such here is the ITK version of the CIS 23 GW by 2030 tracker.</w:t>
      </w:r>
    </w:p>
    <w:p>
      <w:pPr>
        <w:pStyle w:val="CaptionedFigure"/>
      </w:pPr>
      <w:r>
        <w:drawing>
          <wp:inline>
            <wp:extent cx="5334000" cy="2892242"/>
            <wp:effectExtent b="0" l="0" r="0" t="0"/>
            <wp:docPr descr="Data: wwww.renewmap.com.au" title="" id="27" name="Picture"/>
            <a:graphic>
              <a:graphicData uri="http://schemas.openxmlformats.org/drawingml/2006/picture">
                <pic:pic>
                  <pic:nvPicPr>
                    <pic:cNvPr descr="../media/image-2025070807564358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2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Data: wwww.renewmap.com.au</w:t>
      </w:r>
    </w:p>
    <w:p>
      <w:pPr>
        <w:pStyle w:val="CaptionedFigure"/>
      </w:pPr>
      <w:r>
        <w:drawing>
          <wp:inline>
            <wp:extent cx="5334000" cy="3273336"/>
            <wp:effectExtent b="0" l="0" r="0" t="0"/>
            <wp:docPr descr="Data:www.renewmap.com.au" title="" id="30" name="Picture"/>
            <a:graphic>
              <a:graphicData uri="http://schemas.openxmlformats.org/drawingml/2006/picture">
                <pic:pic>
                  <pic:nvPicPr>
                    <pic:cNvPr descr="../media/image-2025070807572523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3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Data:www.renewmap.com.au</w:t>
      </w:r>
    </w:p>
    <w:p>
      <w:pPr>
        <w:pStyle w:val="BodyText"/>
      </w:pPr>
      <w:r>
        <w:drawing>
          <wp:inline>
            <wp:extent cx="5334000" cy="5319169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../media/image-2025070807591925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9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CIS Dash</dc:title>
  <dc:creator>David Leitch</dc:creator>
  <cp:keywords/>
  <dcterms:created xsi:type="dcterms:W3CDTF">2025-07-10T03:49:38Z</dcterms:created>
  <dcterms:modified xsi:type="dcterms:W3CDTF">2025-07-10T03:49:38Z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2025-07-08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../media/image-20250708075919251.png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itle-block-banner">
    <vt:lpwstr>True</vt:lpwstr>
  </property>
  <property fmtid="{D5CDD505-2E9C-101B-9397-08002B2CF9AE}" pid="15" name="toc-title">
    <vt:lpwstr>Table of contents</vt:lpwstr>
  </property>
</Properties>
</file>