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2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Australia Primary Energy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2022-09-24</w:t>
      </w:r>
    </w:p>
    <w:bookmarkStart w:id="24" w:name="talking-sankey-sankey"/>
    <w:p>
      <w:pPr>
        <w:pStyle w:val="Heading1"/>
      </w:pPr>
      <w:r>
        <w:t xml:space="preserve">Talking Sankey, Sankey</w:t>
      </w:r>
    </w:p>
    <w:p>
      <w:pPr>
        <w:pStyle w:val="FirstParagraph"/>
      </w:pPr>
      <w:r>
        <w:t xml:space="preserve">Its hard to do justice in a reduced copied image of the work that the</w:t>
      </w:r>
      <w:r>
        <w:t xml:space="preserve"> </w:t>
      </w:r>
      <w:r>
        <w:t xml:space="preserve">Dept Industry, Science, Energy and Resources put into producing a Sankey</w:t>
      </w:r>
      <w:r>
        <w:t xml:space="preserve"> </w:t>
      </w:r>
      <w:r>
        <w:t xml:space="preserve">diagram of Australian energy flows.</w:t>
      </w:r>
    </w:p>
    <w:p>
      <w:pPr>
        <w:pStyle w:val="BodyText"/>
      </w:pPr>
      <w:r>
        <w:drawing>
          <wp:inline>
            <wp:extent cx="5334000" cy="3853253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media/media/image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532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 Australian energy flows. Source: Dept of energy.</w:t>
      </w:r>
    </w:p>
    <w:p>
      <w:pPr>
        <w:pStyle w:val="BodyText"/>
      </w:pPr>
      <w:r>
        <w:t xml:space="preserve">The original document can be found at</w:t>
      </w:r>
      <w:r>
        <w:t xml:space="preserve"> </w:t>
      </w:r>
      <w:hyperlink r:id="rId23">
        <w:r>
          <w:rPr>
            <w:rStyle w:val="Hyperlink"/>
          </w:rPr>
          <w:t xml:space="preserve">Australian Energy Flows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2019-20</w:t>
        </w:r>
      </w:hyperlink>
      <w:r>
        <w:t xml:space="preserve"> </w:t>
      </w:r>
      <w:r>
        <w:t xml:space="preserve">along with associated source data. Even without study of the detail and</w:t>
      </w:r>
      <w:r>
        <w:t xml:space="preserve"> </w:t>
      </w:r>
      <w:r>
        <w:t xml:space="preserve">given that the diagram despite the work could still use a couple of</w:t>
      </w:r>
      <w:r>
        <w:t xml:space="preserve"> </w:t>
      </w:r>
      <w:r>
        <w:t xml:space="preserve">extra labels one can still see:</w:t>
      </w:r>
    </w:p>
    <w:p>
      <w:pPr>
        <w:numPr>
          <w:ilvl w:val="0"/>
          <w:numId w:val="1001"/>
        </w:numPr>
      </w:pPr>
      <w:r>
        <w:t xml:space="preserve">The cyan colour (electricity) is fairly small</w:t>
      </w:r>
    </w:p>
    <w:p>
      <w:pPr>
        <w:numPr>
          <w:ilvl w:val="0"/>
          <w:numId w:val="1001"/>
        </w:numPr>
      </w:pPr>
      <w:r>
        <w:t xml:space="preserve">most of the coal and gas is exported duh and</w:t>
      </w:r>
    </w:p>
    <w:p>
      <w:pPr>
        <w:numPr>
          <w:ilvl w:val="0"/>
          <w:numId w:val="1001"/>
        </w:numPr>
      </w:pPr>
      <w:r>
        <w:t xml:space="preserve">production losses and</w:t>
      </w:r>
      <w:r>
        <w:t xml:space="preserve"> </w:t>
      </w:r>
      <w:r>
        <w:t xml:space="preserve">“own use”</w:t>
      </w:r>
      <w:r>
        <w:t xml:space="preserve"> </w:t>
      </w:r>
      <w:r>
        <w:t xml:space="preserve">of 1747 PJ are double the 858 PJ of</w:t>
      </w:r>
      <w:r>
        <w:t xml:space="preserve"> </w:t>
      </w:r>
      <w:r>
        <w:t xml:space="preserve">electricity production that goes to final energy consumption.</w:t>
      </w:r>
    </w:p>
    <w:p>
      <w:pPr>
        <w:pStyle w:val="FirstParagraph"/>
      </w:pPr>
      <w:r>
        <w:t xml:space="preserve">Lets be honest we are so so far from electrifying Australian and</w:t>
      </w:r>
      <w:r>
        <w:t xml:space="preserve"> </w:t>
      </w:r>
      <w:r>
        <w:t xml:space="preserve">becoming a</w:t>
      </w:r>
      <w:r>
        <w:t xml:space="preserve"> </w:t>
      </w:r>
      <w:r>
        <w:t xml:space="preserve">“renewable energy super power”</w:t>
      </w:r>
      <w:r>
        <w:t xml:space="preserve"> </w:t>
      </w:r>
      <w:r>
        <w:t xml:space="preserve">its almost, but not quite</w:t>
      </w:r>
      <w:r>
        <w:t xml:space="preserve"> </w:t>
      </w:r>
      <w:r>
        <w:t xml:space="preserve">laughable.</w:t>
      </w:r>
    </w:p>
    <w:p>
      <w:pPr>
        <w:pStyle w:val="BodyText"/>
      </w:pPr>
      <w:r>
        <w:t xml:space="preserve">Breaking down and reaggregating energy flow diagram we can see that oil</w:t>
      </w:r>
      <w:r>
        <w:t xml:space="preserve"> </w:t>
      </w:r>
      <w:r>
        <w:t xml:space="preserve">represents about 50% of final consumptionby fuel and that about 30% of</w:t>
      </w:r>
      <w:r>
        <w:t xml:space="preserve"> </w:t>
      </w:r>
      <w:r>
        <w:t xml:space="preserve">the coal and gas production for domestic use is self consumed, either in</w:t>
      </w:r>
      <w:r>
        <w:t xml:space="preserve"> </w:t>
      </w:r>
      <w:r>
        <w:t xml:space="preserve">the process of being extracted or the low thermal efficiency of coal and</w:t>
      </w:r>
      <w:r>
        <w:t xml:space="preserve"> </w:t>
      </w:r>
      <w:r>
        <w:t xml:space="preserve">gas fuelled electricity generation.</w:t>
      </w:r>
    </w:p>
    <w:tbl>
      <w:tblPr>
        <w:tblStyle w:val="Table"/>
        <w:tblW w:type="pct" w:w="4902"/>
        <w:tblLayout w:type="fixed"/>
        <w:tblLook w:firstRow="1" w:lastRow="0" w:firstColumn="0" w:lastColumn="0" w:noHBand="0" w:noVBand="0" w:val="0020"/>
      </w:tblPr>
      <w:tblGrid>
        <w:gridCol w:w="1475"/>
        <w:gridCol w:w="1397"/>
        <w:gridCol w:w="931"/>
        <w:gridCol w:w="854"/>
        <w:gridCol w:w="1397"/>
        <w:gridCol w:w="854"/>
        <w:gridCol w:w="854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Energy sources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and uses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PJ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Consumption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Thermal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power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Own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use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Electricity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Final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demand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share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Coal</w:t>
            </w:r>
          </w:p>
        </w:tc>
        <w:tc>
          <w:tcPr/>
          <w:p>
            <w:pPr>
              <w:pStyle w:val="Compact"/>
            </w:pPr>
            <w:r>
              <w:t xml:space="preserve">1706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1516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88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102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Gas</w:t>
            </w:r>
          </w:p>
        </w:tc>
        <w:tc>
          <w:tcPr/>
          <w:p>
            <w:pPr>
              <w:pStyle w:val="Compact"/>
            </w:pPr>
            <w:r>
              <w:t xml:space="preserve">1643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588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43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1012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24%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Oil</w:t>
            </w:r>
          </w:p>
        </w:tc>
        <w:tc>
          <w:tcPr/>
          <w:p>
            <w:pPr>
              <w:pStyle w:val="Compact"/>
            </w:pPr>
            <w:r>
              <w:t xml:space="preserve">2273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78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2149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50%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Renewables</w:t>
            </w:r>
          </w:p>
        </w:tc>
        <w:tc>
          <w:tcPr/>
          <w:p>
            <w:pPr>
              <w:pStyle w:val="Compact"/>
            </w:pPr>
            <w:r>
              <w:t xml:space="preserve">419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45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204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170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Consumption</w:t>
            </w:r>
            <w:r>
              <w:t xml:space="preserve"> </w:t>
            </w:r>
            <w:r>
              <w:t xml:space="preserve">(primary energy)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6041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Thermal power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2195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1538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657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Own use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1747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Electricity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861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861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Final demand</w:t>
            </w:r>
          </w:p>
        </w:tc>
        <w:tc>
          <w:tcPr/>
          <w:p>
            <w:pPr>
              <w:pStyle w:val="Compac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4294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100%</w:t>
            </w:r>
          </w:p>
        </w:tc>
      </w:tr>
    </w:tbl>
    <w:p>
      <w:pPr>
        <w:pStyle w:val="BodyText"/>
      </w:pPr>
      <w:r>
        <w:t xml:space="preserve">Figure 2 Australian energy source and uses. Source: Dept of Energy</w:t>
      </w:r>
    </w:p>
    <w:p>
      <w:pPr>
        <w:pStyle w:val="BodyText"/>
      </w:pPr>
      <w:r>
        <w:t xml:space="preserve">It is interesting that when you think about energy rather than</w:t>
      </w:r>
      <w:r>
        <w:t xml:space="preserve"> </w:t>
      </w:r>
      <w:r>
        <w:t xml:space="preserve">emissions, oil most of which is imported is 50% of the total. Oil is</w:t>
      </w:r>
      <w:r>
        <w:t xml:space="preserve"> </w:t>
      </w:r>
      <w:r>
        <w:t xml:space="preserve">politically actually the easiest sector to eliminate in Australia, the</w:t>
      </w:r>
      <w:r>
        <w:t xml:space="preserve"> </w:t>
      </w:r>
      <w:r>
        <w:t xml:space="preserve">one where there are next to no vested interests to deal with, and by</w:t>
      </w:r>
      <w:r>
        <w:t xml:space="preserve"> </w:t>
      </w:r>
      <w:r>
        <w:t xml:space="preserve">reducing oil consumption, easily done, we can improve our balance of</w:t>
      </w:r>
      <w:r>
        <w:t xml:space="preserve"> </w:t>
      </w:r>
      <w:r>
        <w:t xml:space="preserve">trade, improve our energy security and decarbonise. I mean come on</w:t>
      </w:r>
      <w:r>
        <w:t xml:space="preserve"> </w:t>
      </w:r>
      <w:r>
        <w:t xml:space="preserve">Canberra you are there for a good time not a long time. Make it happen.</w:t>
      </w:r>
    </w:p>
    <w:p>
      <w:pPr>
        <w:pStyle w:val="BodyText"/>
      </w:pPr>
      <w:r>
        <w:t xml:space="preserve">I don’t show it here but a time series look at final demand will show</w:t>
      </w:r>
      <w:r>
        <w:t xml:space="preserve"> </w:t>
      </w:r>
      <w:r>
        <w:t xml:space="preserve">that compared to 10 years ago, electricity’s share is flat to down, gas</w:t>
      </w:r>
      <w:r>
        <w:t xml:space="preserve"> </w:t>
      </w:r>
      <w:r>
        <w:t xml:space="preserve">share is up. So not good enough.</w:t>
      </w:r>
    </w:p>
    <w:p>
      <w:pPr>
        <w:pStyle w:val="BodyText"/>
      </w:pPr>
      <w:r>
        <w:t xml:space="preserve">Then we can move on to look at the composition of final demand by user.</w:t>
      </w:r>
      <w:r>
        <w:t xml:space="preserve"> </w:t>
      </w:r>
      <w:r>
        <w:t xml:space="preserve">Again lets go with the main aggregates.</w:t>
      </w:r>
    </w:p>
    <w:p>
      <w:pPr>
        <w:pStyle w:val="BodyText"/>
      </w:pPr>
      <w:r>
        <w:t xml:space="preserve">Figure 3 Australia final energy consumption. Source: Dept of Energy</w:t>
      </w:r>
    </w:p>
    <w:p>
      <w:pPr>
        <w:pStyle w:val="BodyText"/>
      </w:pPr>
      <w:r>
        <w:t xml:space="preserve">The messages here are clear. Transport is the dominant consumer of</w:t>
      </w:r>
      <w:r>
        <w:t xml:space="preserve"> </w:t>
      </w:r>
      <w:r>
        <w:t xml:space="preserve">energy. It is ironic it’s the product we import. Even more ironic it’s</w:t>
      </w:r>
      <w:r>
        <w:t xml:space="preserve"> </w:t>
      </w:r>
      <w:r>
        <w:t xml:space="preserve">the sector we could most easily electrify and yet progress is glacial.</w:t>
      </w:r>
    </w:p>
    <w:p>
      <w:pPr>
        <w:pStyle w:val="BodyText"/>
      </w:pPr>
      <w:r>
        <w:t xml:space="preserve">Secondly is to point at mining. Mining is so far not doing the</w:t>
      </w:r>
      <w:r>
        <w:t xml:space="preserve"> </w:t>
      </w:r>
      <w:r>
        <w:t xml:space="preserve">electrification it needs to even though the mining industry is full of</w:t>
      </w:r>
      <w:r>
        <w:t xml:space="preserve"> </w:t>
      </w:r>
      <w:r>
        <w:t xml:space="preserve">people interested in the topic. Equally since the vast majority of</w:t>
      </w:r>
      <w:r>
        <w:t xml:space="preserve"> </w:t>
      </w:r>
      <w:r>
        <w:t xml:space="preserve">mining output is exported its clear that the consumption of coal and gas</w:t>
      </w:r>
      <w:r>
        <w:t xml:space="preserve"> </w:t>
      </w:r>
      <w:r>
        <w:t xml:space="preserve">within the mining sector as well as its final transport is a major</w:t>
      </w:r>
      <w:r>
        <w:t xml:space="preserve"> </w:t>
      </w:r>
      <w:r>
        <w:t xml:space="preserve">contributor to Australia’s emissions. And so essentially there are lots</w:t>
      </w:r>
      <w:r>
        <w:t xml:space="preserve"> </w:t>
      </w:r>
      <w:r>
        <w:t xml:space="preserve">of emissions associated with mining and exports. This is not a knock on</w:t>
      </w:r>
      <w:r>
        <w:t xml:space="preserve"> </w:t>
      </w:r>
      <w:r>
        <w:t xml:space="preserve">mining where Australia is a world leader but an observation on the</w:t>
      </w:r>
      <w:r>
        <w:t xml:space="preserve"> </w:t>
      </w:r>
      <w:r>
        <w:t xml:space="preserve">opportunity.</w:t>
      </w:r>
    </w:p>
    <w:bookmarkEnd w:id="24"/>
    <w:bookmarkStart w:id="29" w:name="X98ebec0bec60a3c96b407b596f4e30082c186dd"/>
    <w:p>
      <w:pPr>
        <w:pStyle w:val="Heading1"/>
      </w:pPr>
      <w:r>
        <w:t xml:space="preserve">Safeguards scheme – Do new coal and gas projects make it completely pointless, or merely blunten the impact</w:t>
      </w:r>
    </w:p>
    <w:p>
      <w:pPr>
        <w:pStyle w:val="FirstParagraph"/>
      </w:pPr>
      <w:r>
        <w:t xml:space="preserve">As we previously</w:t>
      </w:r>
      <w:r>
        <w:t xml:space="preserve"> </w:t>
      </w:r>
      <w:hyperlink r:id="rId25">
        <w:r>
          <w:rPr>
            <w:rStyle w:val="Hyperlink"/>
          </w:rPr>
          <w:t xml:space="preserve">opined</w:t>
        </w:r>
      </w:hyperlink>
      <w:r>
        <w:t xml:space="preserve"> </w:t>
      </w:r>
      <w:r>
        <w:t xml:space="preserve">just after the election, the centre piece of the ALP emissions policy,</w:t>
      </w:r>
      <w:r>
        <w:t xml:space="preserve"> </w:t>
      </w:r>
      <w:r>
        <w:t xml:space="preserve">as opposed to legislate able but fairly useless target is to tighten the</w:t>
      </w:r>
      <w:r>
        <w:t xml:space="preserve"> </w:t>
      </w:r>
      <w:r>
        <w:t xml:space="preserve">safeguards scheme to require a fall of about 5 mt per year from a</w:t>
      </w:r>
      <w:r>
        <w:t xml:space="preserve"> </w:t>
      </w:r>
      <w:r>
        <w:t xml:space="preserve">starting point of 143 mt. So in ten years after the scheme starts those</w:t>
      </w:r>
      <w:r>
        <w:t xml:space="preserve"> </w:t>
      </w:r>
      <w:r>
        <w:t xml:space="preserve">emissions are supposed to fall by 50 mt reducing overall total</w:t>
      </w:r>
      <w:r>
        <w:t xml:space="preserve"> </w:t>
      </w:r>
      <w:r>
        <w:t xml:space="preserve">Australian emissions from all sources relative to today by about 10%.</w:t>
      </w:r>
    </w:p>
    <w:p>
      <w:pPr>
        <w:pStyle w:val="BodyText"/>
      </w:pPr>
      <w:r>
        <w:t xml:space="preserve">To be frank ITK has doubts about the policy.</w:t>
      </w:r>
      <w:r>
        <w:t xml:space="preserve"> </w:t>
      </w:r>
      <w:r>
        <w:rPr>
          <w:b/>
          <w:bCs/>
        </w:rPr>
        <w:t xml:space="preserve">Its tackling the hardest</w:t>
      </w:r>
      <w:r>
        <w:rPr>
          <w:b/>
          <w:bCs/>
        </w:rPr>
        <w:t xml:space="preserve"> </w:t>
      </w:r>
      <w:r>
        <w:rPr>
          <w:b/>
          <w:bCs/>
        </w:rPr>
        <w:t xml:space="preserve">to abate sectors first instead of the easiest to abate sectors</w:t>
      </w:r>
      <w:r>
        <w:t xml:space="preserve">. Still</w:t>
      </w:r>
      <w:r>
        <w:t xml:space="preserve"> </w:t>
      </w:r>
      <w:r>
        <w:t xml:space="preserve">as we will say several times, we must like Oliver Twist be grateful for</w:t>
      </w:r>
      <w:r>
        <w:t xml:space="preserve"> </w:t>
      </w:r>
      <w:r>
        <w:t xml:space="preserve">what we are offered because the alternative is worse. And tightening the</w:t>
      </w:r>
      <w:r>
        <w:t xml:space="preserve"> </w:t>
      </w:r>
      <w:r>
        <w:t xml:space="preserve">safeguards scheme is sound policy, its just the difficult part rather</w:t>
      </w:r>
      <w:r>
        <w:t xml:space="preserve"> </w:t>
      </w:r>
      <w:r>
        <w:t xml:space="preserve">than the easy pickings available in electricity and transport.</w:t>
      </w:r>
    </w:p>
    <w:p>
      <w:pPr>
        <w:pStyle w:val="BodyText"/>
      </w:pPr>
      <w:r>
        <w:t xml:space="preserve">Never mind that 5 mt is less than 1% of emissions that’s what’s on offer</w:t>
      </w:r>
      <w:r>
        <w:t xml:space="preserve"> </w:t>
      </w:r>
      <w:r>
        <w:t xml:space="preserve">and because any policy is better than what the Liberal National party</w:t>
      </w:r>
      <w:r>
        <w:t xml:space="preserve"> </w:t>
      </w:r>
      <w:r>
        <w:t xml:space="preserve">were offering so we should, and to an extent are, grateful.</w:t>
      </w:r>
    </w:p>
    <w:p>
      <w:pPr>
        <w:pStyle w:val="BodyText"/>
      </w:pPr>
      <w:r>
        <w:t xml:space="preserve">But not so grateful that we can overlook pointing out what a farce it is</w:t>
      </w:r>
      <w:r>
        <w:t xml:space="preserve"> </w:t>
      </w:r>
      <w:r>
        <w:t xml:space="preserve">to allow new coal and gas projects at the same time as the existing ones</w:t>
      </w:r>
      <w:r>
        <w:t xml:space="preserve"> </w:t>
      </w:r>
      <w:r>
        <w:t xml:space="preserve">are required to reduce emissions. Note this is not a statement about</w:t>
      </w:r>
      <w:r>
        <w:t xml:space="preserve"> </w:t>
      </w:r>
      <w:r>
        <w:t xml:space="preserve">whether new coal or gas projects should go ahead. It’s a statement that</w:t>
      </w:r>
      <w:r>
        <w:t xml:space="preserve"> </w:t>
      </w:r>
      <w:r>
        <w:t xml:space="preserve">requiring existing projects to reduce emissions but at the same time</w:t>
      </w:r>
      <w:r>
        <w:t xml:space="preserve"> </w:t>
      </w:r>
      <w:r>
        <w:t xml:space="preserve">allowing new projects is fairly pointless and also seemingly unfair to</w:t>
      </w:r>
      <w:r>
        <w:t xml:space="preserve"> </w:t>
      </w:r>
      <w:r>
        <w:t xml:space="preserve">existing projects. That is unless the new projects pay and pay heavily</w:t>
      </w:r>
      <w:r>
        <w:t xml:space="preserve"> </w:t>
      </w:r>
      <w:r>
        <w:t xml:space="preserve">for the privilege.</w:t>
      </w:r>
    </w:p>
    <w:p>
      <w:pPr>
        <w:pStyle w:val="BodyText"/>
      </w:pPr>
      <w:r>
        <w:t xml:space="preserve">Contrary to what I last wrote coal and gas are not responsible for 25%</w:t>
      </w:r>
      <w:r>
        <w:t xml:space="preserve"> </w:t>
      </w:r>
      <w:r>
        <w:t xml:space="preserve">of Australia’s scope 1 emissions, even though exports of goods and</w:t>
      </w:r>
      <w:r>
        <w:t xml:space="preserve"> </w:t>
      </w:r>
      <w:r>
        <w:t xml:space="preserve">services , which includes agriculture are about 40% of scope 1</w:t>
      </w:r>
      <w:r>
        <w:t xml:space="preserve"> </w:t>
      </w:r>
      <w:r>
        <w:t xml:space="preserve">emissions. A little checking shows that coal and gas production,</w:t>
      </w:r>
      <w:r>
        <w:t xml:space="preserve"> </w:t>
      </w:r>
      <w:r>
        <w:t xml:space="preserve">excluding say coal transport to port, are about 67 mt or 14% of</w:t>
      </w:r>
      <w:r>
        <w:t xml:space="preserve"> </w:t>
      </w:r>
      <w:r>
        <w:t xml:space="preserve">emissions. And as we show later we could add another 50 mt maybe for the</w:t>
      </w:r>
      <w:r>
        <w:t xml:space="preserve"> </w:t>
      </w:r>
      <w:r>
        <w:t xml:space="preserve">ocean transport of these products.</w:t>
      </w:r>
    </w:p>
    <w:tbl>
      <w:tblPr>
        <w:tblStyle w:val="Table"/>
        <w:tblW w:type="pct" w:w="4867"/>
        <w:tblLayout w:type="fixed"/>
        <w:tblLook w:firstRow="0" w:lastRow="0" w:firstColumn="0" w:lastColumn="0" w:noHBand="0" w:noVBand="0" w:val="0000"/>
      </w:tblPr>
      <w:tblGrid>
        <w:gridCol w:w="3273"/>
        <w:gridCol w:w="2217"/>
        <w:gridCol w:w="2217"/>
      </w:tblGrid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Scope 1 emissions from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fossil fuel production and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distribution Australia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mt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share total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emissions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coal production</w:t>
            </w:r>
          </w:p>
        </w:tc>
        <w:tc>
          <w:tcPr/>
          <w:p>
            <w:pPr>
              <w:pStyle w:val="Compact"/>
            </w:pPr>
            <w:r>
              <w:t xml:space="preserve">34.5</w:t>
            </w:r>
          </w:p>
        </w:tc>
        <w:tc>
          <w:tcPr/>
          <w:p>
            <w:pPr>
              <w:pStyle w:val="Compact"/>
            </w:pPr>
            <w:r>
              <w:t xml:space="preserve">7.1%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gas extraction</w:t>
            </w:r>
          </w:p>
        </w:tc>
        <w:tc>
          <w:tcPr/>
          <w:p>
            <w:pPr>
              <w:pStyle w:val="Compact"/>
            </w:pPr>
            <w:r>
              <w:t xml:space="preserve">23.9</w:t>
            </w:r>
          </w:p>
        </w:tc>
        <w:tc>
          <w:tcPr/>
          <w:p>
            <w:pPr>
              <w:pStyle w:val="Compact"/>
            </w:pPr>
            <w:r>
              <w:t xml:space="preserve">4.9%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petrol and coal product</w:t>
            </w:r>
            <w:r>
              <w:t xml:space="preserve"> </w:t>
            </w:r>
            <w:r>
              <w:t xml:space="preserve">manufacture</w:t>
            </w:r>
          </w:p>
        </w:tc>
        <w:tc>
          <w:tcPr/>
          <w:p>
            <w:pPr>
              <w:pStyle w:val="Compact"/>
            </w:pPr>
            <w:r>
              <w:t xml:space="preserve">6.4</w:t>
            </w:r>
          </w:p>
        </w:tc>
        <w:tc>
          <w:tcPr/>
          <w:p>
            <w:pPr>
              <w:pStyle w:val="Compact"/>
            </w:pPr>
            <w:r>
              <w:t xml:space="preserve">1.3%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gas supply</w:t>
            </w:r>
          </w:p>
        </w:tc>
        <w:tc>
          <w:tcPr/>
          <w:p>
            <w:pPr>
              <w:pStyle w:val="Compact"/>
            </w:pPr>
            <w:r>
              <w:t xml:space="preserve">2.3</w:t>
            </w:r>
          </w:p>
        </w:tc>
        <w:tc>
          <w:tcPr/>
          <w:p>
            <w:pPr>
              <w:pStyle w:val="Compact"/>
            </w:pPr>
            <w:r>
              <w:t xml:space="preserve">0.5%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total fossil fuel excluding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electricity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67.1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13.7%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Total emissions Australia</w:t>
            </w:r>
          </w:p>
        </w:tc>
        <w:tc>
          <w:tcPr/>
          <w:p>
            <w:pPr>
              <w:pStyle w:val="Compact"/>
            </w:pPr>
            <w:r>
              <w:t xml:space="preserve">488.8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Figure 4 Emission by industry. Source: CER</w:t>
      </w:r>
    </w:p>
    <w:p>
      <w:pPr>
        <w:pStyle w:val="BodyText"/>
      </w:pPr>
      <w:r>
        <w:t xml:space="preserve">Its still a big number and other sources point to even higher emissions</w:t>
      </w:r>
      <w:r>
        <w:t xml:space="preserve"> </w:t>
      </w:r>
      <w:r>
        <w:t xml:space="preserve">from gas production.</w:t>
      </w:r>
    </w:p>
    <w:p>
      <w:pPr>
        <w:pStyle w:val="BodyText"/>
      </w:pPr>
      <w:r>
        <w:t xml:space="preserve">It takes on even more significance when we look at the safeguards</w:t>
      </w:r>
      <w:r>
        <w:t xml:space="preserve"> </w:t>
      </w:r>
      <w:r>
        <w:t xml:space="preserve">scheme. The following graph shows a summary by industry of the 53</w:t>
      </w:r>
      <w:r>
        <w:t xml:space="preserve"> </w:t>
      </w:r>
      <w:r>
        <w:t xml:space="preserve">largest covered emitters, remembering that electricity emitters are</w:t>
      </w:r>
      <w:r>
        <w:t xml:space="preserve"> </w:t>
      </w:r>
      <w:r>
        <w:t xml:space="preserve">excluded.. Emissions from those 53 facilities total 100 mt out the 143</w:t>
      </w:r>
      <w:r>
        <w:t xml:space="preserve"> </w:t>
      </w:r>
      <w:r>
        <w:t xml:space="preserve">covered by the scheme and which are subject to the potential 5 mt per</w:t>
      </w:r>
      <w:r>
        <w:t xml:space="preserve"> </w:t>
      </w:r>
      <w:r>
        <w:t xml:space="preserve">year reduction. I allocated each facility to an industry and I included</w:t>
      </w:r>
      <w:r>
        <w:t xml:space="preserve"> </w:t>
      </w:r>
      <w:r>
        <w:t xml:space="preserve">Bass Strait in gas.</w:t>
      </w:r>
    </w:p>
    <w:p>
      <w:pPr>
        <w:pStyle w:val="BodyText"/>
      </w:pPr>
      <w:r>
        <w:t xml:space="preserve">Figure 5 53 largest emitters summed by industry. Source: CER</w:t>
      </w:r>
    </w:p>
    <w:p>
      <w:pPr>
        <w:pStyle w:val="BodyText"/>
      </w:pPr>
      <w:r>
        <w:t xml:space="preserve">I note that the 41.7 mt of gas is almost double what the CER analysis</w:t>
      </w:r>
      <w:r>
        <w:t xml:space="preserve"> </w:t>
      </w:r>
      <w:r>
        <w:t xml:space="preserve">shows and this may be due to some double counting. The graph only covers</w:t>
      </w:r>
      <w:r>
        <w:t xml:space="preserve"> </w:t>
      </w:r>
      <w:r>
        <w:t xml:space="preserve">coal mines that made the top 53 largest emitters from all sources. So</w:t>
      </w:r>
      <w:r>
        <w:t xml:space="preserve"> </w:t>
      </w:r>
      <w:r>
        <w:t xml:space="preserve">most medium and small coal mines are not shown.</w:t>
      </w:r>
    </w:p>
    <w:p>
      <w:pPr>
        <w:pStyle w:val="BodyText"/>
      </w:pPr>
      <w:r>
        <w:t xml:space="preserve">Digging into the weeds here is a sorted list of the top 29 emitting</w:t>
      </w:r>
      <w:r>
        <w:t xml:space="preserve"> </w:t>
      </w:r>
      <w:r>
        <w:t xml:space="preserve">facilities. It’s a list dominated by gas.</w:t>
      </w:r>
    </w:p>
    <w:p>
      <w:pPr>
        <w:pStyle w:val="BodyText"/>
      </w:pPr>
      <w:r>
        <w:drawing>
          <wp:inline>
            <wp:extent cx="5334000" cy="4670016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media/media/image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700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6 Top 29 "safeguards" emitters. Source: CER</w:t>
      </w:r>
    </w:p>
    <w:p>
      <w:pPr>
        <w:pStyle w:val="BodyText"/>
      </w:pPr>
      <w:r>
        <w:t xml:space="preserve">Another difficulty is that the Govt has stated that all the</w:t>
      </w:r>
      <w:r>
        <w:t xml:space="preserve"> </w:t>
      </w:r>
      <w:r>
        <w:t xml:space="preserve">“export”</w:t>
      </w:r>
      <w:r>
        <w:t xml:space="preserve"> </w:t>
      </w:r>
      <w:r>
        <w:t xml:space="preserve">industries covered under the safeguard scheme will have</w:t>
      </w:r>
      <w:r>
        <w:t xml:space="preserve"> </w:t>
      </w:r>
      <w:r>
        <w:t xml:space="preserve">“tailored”</w:t>
      </w:r>
      <w:r>
        <w:t xml:space="preserve"> </w:t>
      </w:r>
      <w:r>
        <w:t xml:space="preserve">treatment. Well guess what. They are pretty well all export oriented. So</w:t>
      </w:r>
      <w:r>
        <w:t xml:space="preserve"> </w:t>
      </w:r>
      <w:r>
        <w:t xml:space="preserve">if they are all tailored then it seems like we’ll have to kiss bye bye</w:t>
      </w:r>
      <w:r>
        <w:t xml:space="preserve"> </w:t>
      </w:r>
      <w:r>
        <w:t xml:space="preserve">to the 5 mt. And yet there is always a different way to cut the numbers,</w:t>
      </w:r>
      <w:r>
        <w:t xml:space="preserve"> </w:t>
      </w:r>
      <w:r>
        <w:t xml:space="preserve">particularly given a bunch of bright bureaucrats.</w:t>
      </w:r>
    </w:p>
    <w:bookmarkEnd w:id="29"/>
    <w:bookmarkStart w:id="32" w:name="X04207fd69d9f2b9690c8fd83f21c821c678ec82"/>
    <w:p>
      <w:pPr>
        <w:pStyle w:val="Heading1"/>
      </w:pPr>
      <w:r>
        <w:t xml:space="preserve">Shipping coal, gas and oil nearly doubles the emissions from production</w:t>
      </w:r>
    </w:p>
    <w:p>
      <w:pPr>
        <w:pStyle w:val="FirstParagraph"/>
      </w:pPr>
      <w:r>
        <w:t xml:space="preserve">Globally shipping of all kinds results in about 1 bt of carbon emissions</w:t>
      </w:r>
      <w:r>
        <w:t xml:space="preserve"> </w:t>
      </w:r>
      <w:r>
        <w:t xml:space="preserve">a year (ie two Australias) and represents about 2.5% of global</w:t>
      </w:r>
      <w:r>
        <w:t xml:space="preserve"> </w:t>
      </w:r>
      <w:r>
        <w:t xml:space="preserve">emissions. See</w:t>
      </w:r>
      <w:r>
        <w:t xml:space="preserve"> </w:t>
      </w:r>
      <w:hyperlink r:id="rId30">
        <w:r>
          <w:rPr>
            <w:rStyle w:val="Hyperlink"/>
          </w:rPr>
          <w:t xml:space="preserve">Transport and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Environment</w:t>
        </w:r>
      </w:hyperlink>
    </w:p>
    <w:p>
      <w:pPr>
        <w:pStyle w:val="BodyText"/>
      </w:pPr>
      <w:r>
        <w:t xml:space="preserve">It turns out that shipping coal gas and oil is around 40% of the total.</w:t>
      </w:r>
    </w:p>
    <w:p>
      <w:pPr>
        <w:pStyle w:val="BodyText"/>
      </w:pPr>
      <w:r>
        <w:t xml:space="preserve">Yes you read that right, shipping of coal, gas and oil is over 40% by</w:t>
      </w:r>
      <w:r>
        <w:t xml:space="preserve"> </w:t>
      </w:r>
      <w:r>
        <w:t xml:space="preserve">weight of all global shipping trade. The numbers come from</w:t>
      </w:r>
      <w:r>
        <w:t xml:space="preserve"> </w:t>
      </w:r>
      <w:hyperlink r:id="rId31">
        <w:r>
          <w:rPr>
            <w:rStyle w:val="Hyperlink"/>
          </w:rPr>
          <w:t xml:space="preserve">United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Nations Conference on Trade and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Development</w:t>
        </w:r>
      </w:hyperlink>
      <w:r>
        <w:t xml:space="preserve">.</w:t>
      </w:r>
      <w:r>
        <w:t xml:space="preserve"> </w:t>
      </w:r>
      <w:r>
        <w:t xml:space="preserve">To get the emissions from oil tankers its just their share of global</w:t>
      </w:r>
      <w:r>
        <w:t xml:space="preserve"> </w:t>
      </w:r>
      <w:r>
        <w:t xml:space="preserve">shipping as a share of 1 bn tonnes of global shipping emissions and so</w:t>
      </w:r>
      <w:r>
        <w:t xml:space="preserve"> </w:t>
      </w:r>
      <w:r>
        <w:t xml:space="preserve">on.</w:t>
      </w:r>
    </w:p>
    <w:tbl>
      <w:tblPr>
        <w:tblStyle w:val="Table"/>
        <w:tblW w:type="pct" w:w="4867"/>
        <w:tblLayout w:type="fixed"/>
        <w:tblLook w:firstRow="1" w:lastRow="0" w:firstColumn="0" w:lastColumn="0" w:noHBand="0" w:noVBand="0" w:val="0020"/>
      </w:tblPr>
      <w:tblGrid>
        <w:gridCol w:w="1478"/>
        <w:gridCol w:w="1478"/>
        <w:gridCol w:w="1267"/>
        <w:gridCol w:w="1689"/>
        <w:gridCol w:w="1795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Global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shipping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2018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 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million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tons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share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Emissions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mt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Australia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implied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Oil tankers</w:t>
            </w:r>
          </w:p>
        </w:tc>
        <w:tc>
          <w:tcPr/>
          <w:p>
            <w:pPr>
              <w:pStyle w:val="Compact"/>
            </w:pPr>
            <w:r>
              <w:t xml:space="preserve">1886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176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LNG</w:t>
            </w:r>
          </w:p>
        </w:tc>
        <w:tc>
          <w:tcPr/>
          <w:p>
            <w:pPr>
              <w:pStyle w:val="Compact"/>
            </w:pPr>
            <w:r>
              <w:t xml:space="preserve">1308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Coal</w:t>
            </w:r>
          </w:p>
        </w:tc>
        <w:tc>
          <w:tcPr/>
          <w:p>
            <w:pPr>
              <w:pStyle w:val="Compact"/>
            </w:pPr>
            <w:r>
              <w:t xml:space="preserve">1263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118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Fossll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fuels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4457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42%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416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Iron ore</w:t>
            </w:r>
          </w:p>
        </w:tc>
        <w:tc>
          <w:tcPr/>
          <w:p>
            <w:pPr>
              <w:pStyle w:val="Compact"/>
            </w:pPr>
            <w:r>
              <w:t xml:space="preserve">1476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14%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138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All other</w:t>
            </w:r>
          </w:p>
        </w:tc>
        <w:tc>
          <w:tcPr/>
          <w:p>
            <w:pPr>
              <w:pStyle w:val="Compact"/>
            </w:pPr>
            <w:r>
              <w:t xml:space="preserve">4783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45%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446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World total</w:t>
            </w:r>
          </w:p>
        </w:tc>
        <w:tc>
          <w:tcPr/>
          <w:p>
            <w:pPr>
              <w:pStyle w:val="Compact"/>
            </w:pPr>
            <w:r>
              <w:t xml:space="preserve">10716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pStyle w:val="BodyText"/>
      </w:pPr>
      <w:r>
        <w:t xml:space="preserve">Figure 7 Global shipping, emissions and implied australian contribution.</w:t>
      </w:r>
      <w:r>
        <w:t xml:space="preserve"> </w:t>
      </w:r>
      <w:r>
        <w:t xml:space="preserve">Source: United Nations Conference, Transport and Environment, BP, ITK</w:t>
      </w:r>
      <w:r>
        <w:t xml:space="preserve"> </w:t>
      </w:r>
      <w:r>
        <w:t xml:space="preserve">derived</w:t>
      </w:r>
    </w:p>
    <w:p>
      <w:pPr>
        <w:pStyle w:val="BodyText"/>
      </w:pPr>
      <w:r>
        <w:t xml:space="preserve">The Australian derived contribution to global carbon emissions from the</w:t>
      </w:r>
      <w:r>
        <w:t xml:space="preserve"> </w:t>
      </w:r>
      <w:r>
        <w:t xml:space="preserve">shipping of fossil fuels produced in Australia is a bit of a stretch.</w:t>
      </w:r>
      <w:r>
        <w:t xml:space="preserve"> </w:t>
      </w:r>
      <w:r>
        <w:t xml:space="preserve">The method was to work out Australia’s share of global trade in each</w:t>
      </w:r>
      <w:r>
        <w:t xml:space="preserve"> </w:t>
      </w:r>
      <w:r>
        <w:t xml:space="preserve">commodity using the BP data and then to apply that share to the global</w:t>
      </w:r>
      <w:r>
        <w:t xml:space="preserve"> </w:t>
      </w:r>
      <w:r>
        <w:t xml:space="preserve">emissions from the global sea transport of that product.</w:t>
      </w:r>
    </w:p>
    <w:p>
      <w:pPr>
        <w:pStyle w:val="BodyText"/>
      </w:pPr>
      <w:r>
        <w:t xml:space="preserve">The data used to derive the shares is in exajoules</w:t>
      </w:r>
    </w:p>
    <w:tbl>
      <w:tblPr>
        <w:tblStyle w:val="Table"/>
        <w:tblW w:type="pct" w:w="4868"/>
        <w:tblLayout w:type="fixed"/>
        <w:tblLook w:firstRow="0" w:lastRow="0" w:firstColumn="0" w:lastColumn="0" w:noHBand="0" w:noVBand="0" w:val="0000"/>
      </w:tblPr>
      <w:tblGrid>
        <w:gridCol w:w="2709"/>
        <w:gridCol w:w="1250"/>
        <w:gridCol w:w="1250"/>
        <w:gridCol w:w="1250"/>
        <w:gridCol w:w="1250"/>
      </w:tblGrid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World energy trade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EJ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Coal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LNG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Oil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total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Russia</w:t>
            </w:r>
          </w:p>
        </w:tc>
        <w:tc>
          <w:tcPr/>
          <w:p>
            <w:pPr>
              <w:pStyle w:val="Compact"/>
            </w:pPr>
            <w:r>
              <w:t xml:space="preserve">5.9</w:t>
            </w:r>
          </w:p>
        </w:tc>
        <w:tc>
          <w:tcPr/>
          <w:p>
            <w:pPr>
              <w:pStyle w:val="Compact"/>
            </w:pPr>
            <w:r>
              <w:t xml:space="preserve">2.2</w:t>
            </w:r>
          </w:p>
        </w:tc>
        <w:tc>
          <w:tcPr/>
          <w:p>
            <w:pPr>
              <w:pStyle w:val="Compact"/>
            </w:pPr>
            <w:r>
              <w:t xml:space="preserve">12.0</w:t>
            </w:r>
          </w:p>
        </w:tc>
        <w:tc>
          <w:tcPr/>
          <w:p>
            <w:pPr>
              <w:pStyle w:val="Compact"/>
            </w:pPr>
            <w:r>
              <w:t xml:space="preserve">20.1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Australia</w:t>
            </w:r>
          </w:p>
        </w:tc>
        <w:tc>
          <w:tcPr/>
          <w:p>
            <w:pPr>
              <w:pStyle w:val="Compact"/>
            </w:pPr>
            <w:r>
              <w:t xml:space="preserve">9.7</w:t>
            </w:r>
          </w:p>
        </w:tc>
        <w:tc>
          <w:tcPr/>
          <w:p>
            <w:pPr>
              <w:pStyle w:val="Compact"/>
            </w:pPr>
            <w:r>
              <w:t xml:space="preserve">6.0</w:t>
            </w:r>
          </w:p>
        </w:tc>
        <w:tc>
          <w:tcPr/>
          <w:p>
            <w:pPr>
              <w:pStyle w:val="Compact"/>
            </w:pPr>
            <w:r>
              <w:t xml:space="preserve">0.5</w:t>
            </w:r>
          </w:p>
        </w:tc>
        <w:tc>
          <w:tcPr/>
          <w:p>
            <w:pPr>
              <w:pStyle w:val="Compact"/>
            </w:pPr>
            <w:r>
              <w:t xml:space="preserve">16.2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Saudi Arabia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15.0</w:t>
            </w:r>
          </w:p>
        </w:tc>
        <w:tc>
          <w:tcPr/>
          <w:p>
            <w:pPr>
              <w:pStyle w:val="Compact"/>
            </w:pPr>
            <w:r>
              <w:t xml:space="preserve">15.0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USA</w:t>
            </w:r>
          </w:p>
        </w:tc>
        <w:tc>
          <w:tcPr/>
          <w:p>
            <w:pPr>
              <w:pStyle w:val="Compact"/>
            </w:pPr>
            <w:r>
              <w:t xml:space="preserve">2.4</w:t>
            </w:r>
          </w:p>
        </w:tc>
        <w:tc>
          <w:tcPr/>
          <w:p>
            <w:pPr>
              <w:pStyle w:val="Compact"/>
            </w:pPr>
            <w:r>
              <w:t xml:space="preserve">2.7</w:t>
            </w:r>
          </w:p>
        </w:tc>
        <w:tc>
          <w:tcPr/>
          <w:p>
            <w:pPr>
              <w:pStyle w:val="Compact"/>
            </w:pPr>
            <w:r>
              <w:t xml:space="preserve">5.8</w:t>
            </w:r>
          </w:p>
        </w:tc>
        <w:tc>
          <w:tcPr/>
          <w:p>
            <w:pPr>
              <w:pStyle w:val="Compact"/>
            </w:pPr>
            <w:r>
              <w:t xml:space="preserve">10.9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Indonesia</w:t>
            </w:r>
          </w:p>
        </w:tc>
        <w:tc>
          <w:tcPr/>
          <w:p>
            <w:pPr>
              <w:pStyle w:val="Compact"/>
            </w:pPr>
            <w:r>
              <w:t xml:space="preserve">9.2</w:t>
            </w:r>
          </w:p>
        </w:tc>
        <w:tc>
          <w:tcPr/>
          <w:p>
            <w:pPr>
              <w:pStyle w:val="Compact"/>
            </w:pPr>
            <w:r>
              <w:t xml:space="preserve">0.9</w:t>
            </w:r>
          </w:p>
        </w:tc>
        <w:tc>
          <w:tcPr/>
          <w:p>
            <w:pPr>
              <w:pStyle w:val="Compact"/>
            </w:pPr>
            <w:r>
              <w:t xml:space="preserve">0.3</w:t>
            </w:r>
          </w:p>
        </w:tc>
        <w:tc>
          <w:tcPr/>
          <w:p>
            <w:pPr>
              <w:pStyle w:val="Compact"/>
            </w:pPr>
            <w:r>
              <w:t xml:space="preserve">10.4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Qatar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6.1</w:t>
            </w:r>
          </w:p>
        </w:tc>
        <w:tc>
          <w:tcPr/>
          <w:p>
            <w:pPr>
              <w:pStyle w:val="Compact"/>
            </w:pPr>
            <w:r>
              <w:t xml:space="preserve">1.1</w:t>
            </w:r>
          </w:p>
        </w:tc>
        <w:tc>
          <w:tcPr/>
          <w:p>
            <w:pPr>
              <w:pStyle w:val="Compact"/>
            </w:pPr>
            <w:r>
              <w:t xml:space="preserve">7.2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All others</w:t>
            </w:r>
          </w:p>
        </w:tc>
        <w:tc>
          <w:tcPr/>
          <w:p>
            <w:pPr>
              <w:pStyle w:val="Compact"/>
            </w:pPr>
            <w:r>
              <w:t xml:space="preserve">8.2</w:t>
            </w:r>
          </w:p>
        </w:tc>
        <w:tc>
          <w:tcPr/>
          <w:p>
            <w:pPr>
              <w:pStyle w:val="Compact"/>
            </w:pPr>
            <w:r>
              <w:t xml:space="preserve">9.7</w:t>
            </w:r>
          </w:p>
        </w:tc>
        <w:tc>
          <w:tcPr/>
          <w:p>
            <w:pPr>
              <w:pStyle w:val="Compact"/>
            </w:pPr>
            <w:r>
              <w:t xml:space="preserve">51.1</w:t>
            </w:r>
          </w:p>
        </w:tc>
        <w:tc>
          <w:tcPr/>
          <w:p>
            <w:pPr>
              <w:pStyle w:val="Compact"/>
            </w:pPr>
            <w:r>
              <w:t xml:space="preserve">69.0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World</w:t>
            </w:r>
          </w:p>
        </w:tc>
        <w:tc>
          <w:tcPr/>
          <w:p>
            <w:pPr>
              <w:pStyle w:val="Compact"/>
            </w:pPr>
            <w:r>
              <w:t xml:space="preserve">35.3</w:t>
            </w:r>
          </w:p>
        </w:tc>
        <w:tc>
          <w:tcPr/>
          <w:p>
            <w:pPr>
              <w:pStyle w:val="Compact"/>
            </w:pPr>
            <w:r>
              <w:t xml:space="preserve">27.6</w:t>
            </w:r>
          </w:p>
        </w:tc>
        <w:tc>
          <w:tcPr/>
          <w:p>
            <w:pPr>
              <w:pStyle w:val="Compact"/>
            </w:pPr>
            <w:r>
              <w:t xml:space="preserve">85.8</w:t>
            </w:r>
          </w:p>
        </w:tc>
        <w:tc>
          <w:tcPr/>
          <w:p>
            <w:pPr>
              <w:pStyle w:val="Compact"/>
            </w:pPr>
            <w:r>
              <w:t xml:space="preserve">148.7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Australia share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27.5%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21.7%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0.6%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10.9%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US$/GJ *</w:t>
            </w:r>
          </w:p>
        </w:tc>
        <w:tc>
          <w:tcPr/>
          <w:p>
            <w:pPr>
              <w:pStyle w:val="Compact"/>
            </w:pPr>
            <w:r>
              <w:t xml:space="preserve">7.7</w:t>
            </w:r>
          </w:p>
        </w:tc>
        <w:tc>
          <w:tcPr/>
          <w:p>
            <w:pPr>
              <w:pStyle w:val="Compact"/>
            </w:pPr>
            <w:r>
              <w:t xml:space="preserve">10.0</w:t>
            </w:r>
          </w:p>
        </w:tc>
        <w:tc>
          <w:tcPr/>
          <w:p>
            <w:pPr>
              <w:pStyle w:val="Compact"/>
            </w:pPr>
            <w:r>
              <w:t xml:space="preserve">15.4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Value US$ trillion</w:t>
            </w:r>
          </w:p>
        </w:tc>
        <w:tc>
          <w:tcPr/>
          <w:p>
            <w:pPr>
              <w:pStyle w:val="Compact"/>
            </w:pPr>
            <w:r>
              <w:t xml:space="preserve">0.3</w:t>
            </w:r>
          </w:p>
        </w:tc>
        <w:tc>
          <w:tcPr/>
          <w:p>
            <w:pPr>
              <w:pStyle w:val="Compact"/>
            </w:pPr>
            <w:r>
              <w:t xml:space="preserve">0.3</w:t>
            </w:r>
          </w:p>
        </w:tc>
        <w:tc>
          <w:tcPr/>
          <w:p>
            <w:pPr>
              <w:pStyle w:val="Compact"/>
            </w:pPr>
            <w:r>
              <w:t xml:space="preserve">1.3</w:t>
            </w:r>
          </w:p>
        </w:tc>
        <w:tc>
          <w:tcPr/>
          <w:p>
            <w:pPr>
              <w:pStyle w:val="Compact"/>
            </w:pPr>
            <w:r>
              <w:t xml:space="preserve">1.9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Coal based on US$200/t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Figure 8 World energy trade. Source BP stats review 2020, ITK</w:t>
      </w:r>
      <w:r>
        <w:t xml:space="preserve"> </w:t>
      </w:r>
      <w:r>
        <w:t xml:space="preserve">calculations</w:t>
      </w:r>
    </w:p>
    <w:p>
      <w:pPr>
        <w:pStyle w:val="BodyText"/>
      </w:pPr>
      <w:r>
        <w:t xml:space="preserve">Based on the above data it appears that in addition to the over 60 mt of</w:t>
      </w:r>
      <w:r>
        <w:t xml:space="preserve"> </w:t>
      </w:r>
      <w:r>
        <w:t xml:space="preserve">emissions from the domestic production of coal, gas and oil there is</w:t>
      </w:r>
      <w:r>
        <w:t xml:space="preserve"> </w:t>
      </w:r>
      <w:r>
        <w:t xml:space="preserve">another 50 mt of emissions involved in shipping the product and no doubt</w:t>
      </w:r>
      <w:r>
        <w:t xml:space="preserve"> </w:t>
      </w:r>
      <w:r>
        <w:t xml:space="preserve">still more emissions in transporting it to the port of export and from</w:t>
      </w:r>
      <w:r>
        <w:t xml:space="preserve"> </w:t>
      </w:r>
      <w:r>
        <w:t xml:space="preserve">the port of import to where ever its finally consumed.</w:t>
      </w:r>
    </w:p>
    <w:bookmarkEnd w:id="32"/>
    <w:bookmarkStart w:id="33" w:name="yes-minister"/>
    <w:p>
      <w:pPr>
        <w:pStyle w:val="Heading1"/>
      </w:pPr>
      <w:r>
        <w:t xml:space="preserve">Yes Minister</w:t>
      </w:r>
    </w:p>
    <w:p>
      <w:pPr>
        <w:pStyle w:val="FirstParagraph"/>
      </w:pPr>
      <w:r>
        <w:t xml:space="preserve">Your analyst has always appreciated humour, and even if satire is the</w:t>
      </w:r>
      <w:r>
        <w:t xml:space="preserve"> </w:t>
      </w:r>
      <w:r>
        <w:t xml:space="preserve">lowest form of wit and irony be far superior nevertheless</w:t>
      </w:r>
      <w:r>
        <w:t xml:space="preserve"> </w:t>
      </w:r>
      <w:r>
        <w:t xml:space="preserve">“Yes Minister”</w:t>
      </w:r>
      <w:r>
        <w:t xml:space="preserve"> </w:t>
      </w:r>
      <w:r>
        <w:t xml:space="preserve">was generally a good jolly.</w:t>
      </w:r>
    </w:p>
    <w:p>
      <w:pPr>
        <w:pStyle w:val="BodyText"/>
      </w:pPr>
      <w:r>
        <w:t xml:space="preserve">As an avid student of irony it causes no more than a smile to note that</w:t>
      </w:r>
      <w:r>
        <w:t xml:space="preserve"> </w:t>
      </w:r>
      <w:r>
        <w:t xml:space="preserve">we have policies like in Victoria where the aluminum smelter (the</w:t>
      </w:r>
      <w:r>
        <w:t xml:space="preserve"> </w:t>
      </w:r>
      <w:r>
        <w:t xml:space="preserve">consumer) is subsidised and both a fossil fuel part supplier (Yallourn)</w:t>
      </w:r>
      <w:r>
        <w:t xml:space="preserve"> </w:t>
      </w:r>
      <w:r>
        <w:t xml:space="preserve">and the renewable energy suppliers are also subsidised.</w:t>
      </w:r>
    </w:p>
    <w:p>
      <w:pPr>
        <w:pStyle w:val="BodyText"/>
      </w:pPr>
      <w:r>
        <w:t xml:space="preserve">I have gone off reservation bringing in Portland and Victoria only</w:t>
      </w:r>
      <w:r>
        <w:t xml:space="preserve"> </w:t>
      </w:r>
      <w:r>
        <w:t xml:space="preserve">becauseto demonstrate that the Federal Govt, and no doubt most voters,</w:t>
      </w:r>
      <w:r>
        <w:t xml:space="preserve"> </w:t>
      </w:r>
      <w:r>
        <w:t xml:space="preserve">are unlikely to see any problem in forcing existing gas producers and</w:t>
      </w:r>
      <w:r>
        <w:t xml:space="preserve"> </w:t>
      </w:r>
      <w:r>
        <w:t xml:space="preserve">coal producers to reduce emissions by 5 mt per year out of 143 mt total</w:t>
      </w:r>
      <w:r>
        <w:t xml:space="preserve"> </w:t>
      </w:r>
      <w:r>
        <w:t xml:space="preserve">or say 3% and yet at the same time allowing new coal mines and gas</w:t>
      </w:r>
      <w:r>
        <w:t xml:space="preserve"> </w:t>
      </w:r>
      <w:r>
        <w:t xml:space="preserve">facilities to start up.</w:t>
      </w:r>
    </w:p>
    <w:p>
      <w:pPr>
        <w:pStyle w:val="BodyText"/>
      </w:pPr>
      <w:r>
        <w:t xml:space="preserve">And new gas projects are largely in West Australia. And as far as the</w:t>
      </w:r>
      <w:r>
        <w:t xml:space="preserve"> </w:t>
      </w:r>
      <w:r>
        <w:t xml:space="preserve">ALP goes what ever West Australia wants in the way of new gas projects</w:t>
      </w:r>
      <w:r>
        <w:t xml:space="preserve"> </w:t>
      </w:r>
      <w:r>
        <w:t xml:space="preserve">it can have.</w:t>
      </w:r>
    </w:p>
    <w:bookmarkEnd w:id="33"/>
    <w:bookmarkStart w:id="34" w:name="X76bbba06c038bfff326c6ed823fd39b301afdad"/>
    <w:p>
      <w:pPr>
        <w:pStyle w:val="Heading1"/>
      </w:pPr>
      <w:r>
        <w:t xml:space="preserve">Give us an A, Give us an L but don’t take the P</w:t>
      </w:r>
    </w:p>
    <w:p>
      <w:pPr>
        <w:pStyle w:val="FirstParagraph"/>
      </w:pPr>
      <w:r>
        <w:t xml:space="preserve">And hurrah, hurrah however timid and contradictory ALP policy is its</w:t>
      </w:r>
      <w:r>
        <w:t xml:space="preserve"> </w:t>
      </w:r>
      <w:r>
        <w:t xml:space="preserve">better than the Coalition and we will always be grateful. And if I were</w:t>
      </w:r>
      <w:r>
        <w:t xml:space="preserve"> </w:t>
      </w:r>
      <w:r>
        <w:t xml:space="preserve">in Albanese’s place I doubt if I would have the stomach to ban new coal</w:t>
      </w:r>
      <w:r>
        <w:t xml:space="preserve"> </w:t>
      </w:r>
      <w:r>
        <w:t xml:space="preserve">and gas projects. But what I would do is make them pay heavily for the</w:t>
      </w:r>
      <w:r>
        <w:t xml:space="preserve"> </w:t>
      </w:r>
      <w:r>
        <w:t xml:space="preserve">cost they are going to impose on the future of the world. I would</w:t>
      </w:r>
      <w:r>
        <w:t xml:space="preserve"> </w:t>
      </w:r>
      <w:r>
        <w:t xml:space="preserve">frankly tax the guts out of them. And I’d tax the existing projects a</w:t>
      </w:r>
      <w:r>
        <w:t xml:space="preserve"> </w:t>
      </w:r>
      <w:r>
        <w:t xml:space="preserve">whole lot harder.</w:t>
      </w:r>
    </w:p>
    <w:p>
      <w:pPr>
        <w:pStyle w:val="BodyText"/>
      </w:pPr>
      <w:r>
        <w:t xml:space="preserve">Were I advising the ALP my policy prescription would have included:</w:t>
      </w:r>
    </w:p>
    <w:p>
      <w:pPr>
        <w:numPr>
          <w:ilvl w:val="0"/>
          <w:numId w:val="1002"/>
        </w:numPr>
      </w:pPr>
      <w:r>
        <w:t xml:space="preserve">In regard to electricity. Increase the LRET target to say 65% by</w:t>
      </w:r>
      <w:r>
        <w:t xml:space="preserve"> </w:t>
      </w:r>
      <w:r>
        <w:t xml:space="preserve">2030 and allow RECs to be used as well as ACCUs to discharge</w:t>
      </w:r>
      <w:r>
        <w:t xml:space="preserve"> </w:t>
      </w:r>
      <w:r>
        <w:t xml:space="preserve">“safeguards obligations”</w:t>
      </w:r>
      <w:r>
        <w:t xml:space="preserve">. Increasing the target to 65% is a way of</w:t>
      </w:r>
      <w:r>
        <w:t xml:space="preserve"> </w:t>
      </w:r>
      <w:r>
        <w:t xml:space="preserve">forcing the existing large gentailers to finance more wind and solar</w:t>
      </w:r>
      <w:r>
        <w:t xml:space="preserve"> </w:t>
      </w:r>
      <w:r>
        <w:t xml:space="preserve">and takes the burden away from the States.</w:t>
      </w:r>
    </w:p>
    <w:p>
      <w:pPr>
        <w:numPr>
          <w:ilvl w:val="0"/>
          <w:numId w:val="1002"/>
        </w:numPr>
      </w:pPr>
      <w:r>
        <w:t xml:space="preserve">Mark Butler’s residential battery program could be revived. It</w:t>
      </w:r>
      <w:r>
        <w:t xml:space="preserve"> </w:t>
      </w:r>
      <w:r>
        <w:t xml:space="preserve">dovetails well with AEMO’s ISP modelling and would be politically</w:t>
      </w:r>
      <w:r>
        <w:t xml:space="preserve"> </w:t>
      </w:r>
      <w:r>
        <w:t xml:space="preserve">popular as well as really useful. I’d also charge the ESB to work on</w:t>
      </w:r>
      <w:r>
        <w:t xml:space="preserve"> </w:t>
      </w:r>
      <w:r>
        <w:t xml:space="preserve">a revision of the current NEM functional design that is the</w:t>
      </w:r>
      <w:r>
        <w:t xml:space="preserve"> </w:t>
      </w:r>
      <w:r>
        <w:t xml:space="preserve">separation of retail, generation, distribution and transmission. A</w:t>
      </w:r>
      <w:r>
        <w:t xml:space="preserve"> </w:t>
      </w:r>
      <w:r>
        <w:t xml:space="preserve">place may need to be found for the large scale deployment of</w:t>
      </w:r>
      <w:r>
        <w:t xml:space="preserve"> </w:t>
      </w:r>
      <w:r>
        <w:t xml:space="preserve">community batteries in the way WA is doing it without having to go</w:t>
      </w:r>
      <w:r>
        <w:t xml:space="preserve"> </w:t>
      </w:r>
      <w:r>
        <w:t xml:space="preserve">through endless regulatory jumps. In any event some kind of storage</w:t>
      </w:r>
      <w:r>
        <w:t xml:space="preserve"> </w:t>
      </w:r>
      <w:r>
        <w:t xml:space="preserve">scheme analogous to the LRET is likely a goer. This would provide</w:t>
      </w:r>
      <w:r>
        <w:t xml:space="preserve"> </w:t>
      </w:r>
      <w:r>
        <w:t xml:space="preserve">opportunities for pumped hydro and batteries to compete. Despite the</w:t>
      </w:r>
      <w:r>
        <w:t xml:space="preserve"> </w:t>
      </w:r>
      <w:r>
        <w:t xml:space="preserve">ESB analysis I am intuitively drawn to the Californian 4 hour</w:t>
      </w:r>
      <w:r>
        <w:t xml:space="preserve"> </w:t>
      </w:r>
      <w:r>
        <w:t xml:space="preserve">capacity credit model as it targets diurnal storage. Diurnal storage</w:t>
      </w:r>
      <w:r>
        <w:t xml:space="preserve"> </w:t>
      </w:r>
      <w:r>
        <w:t xml:space="preserve">is clearly the emerging market need once we build the bulk wind and</w:t>
      </w:r>
      <w:r>
        <w:t xml:space="preserve"> </w:t>
      </w:r>
      <w:r>
        <w:t xml:space="preserve">solar farms.</w:t>
      </w:r>
    </w:p>
    <w:p>
      <w:pPr>
        <w:numPr>
          <w:ilvl w:val="0"/>
          <w:numId w:val="1002"/>
        </w:numPr>
      </w:pPr>
      <w:r>
        <w:t xml:space="preserve">Legislate vehicle tailpipe emission standards just about the same as</w:t>
      </w:r>
      <w:r>
        <w:t xml:space="preserve"> </w:t>
      </w:r>
      <w:r>
        <w:t xml:space="preserve">Europe, maybe with a two year adjustment phase. In my opinion this</w:t>
      </w:r>
      <w:r>
        <w:t xml:space="preserve"> </w:t>
      </w:r>
      <w:r>
        <w:t xml:space="preserve">is an easy win for the Govt. Future research will look at how much</w:t>
      </w:r>
      <w:r>
        <w:t xml:space="preserve"> </w:t>
      </w:r>
      <w:r>
        <w:t xml:space="preserve">this could save a year in emissions compared to the safeguards</w:t>
      </w:r>
      <w:r>
        <w:t xml:space="preserve"> </w:t>
      </w:r>
      <w:r>
        <w:t xml:space="preserve">proposal</w:t>
      </w:r>
    </w:p>
    <w:p>
      <w:pPr>
        <w:numPr>
          <w:ilvl w:val="0"/>
          <w:numId w:val="1002"/>
        </w:numPr>
      </w:pPr>
      <w:r>
        <w:t xml:space="preserve">Put some weight behind 7 star residential building. The built</w:t>
      </w:r>
      <w:r>
        <w:t xml:space="preserve"> </w:t>
      </w:r>
      <w:r>
        <w:t xml:space="preserve">environment is a major consumer of energy and carbon emitter. There</w:t>
      </w:r>
      <w:r>
        <w:t xml:space="preserve"> </w:t>
      </w:r>
      <w:r>
        <w:t xml:space="preserve">is a ton of work done in this sector already its true and yet the</w:t>
      </w:r>
      <w:r>
        <w:t xml:space="preserve"> </w:t>
      </w:r>
      <w:r>
        <w:t xml:space="preserve">perception remains that the overall results are not that flash</w:t>
      </w:r>
    </w:p>
    <w:p>
      <w:pPr>
        <w:numPr>
          <w:ilvl w:val="0"/>
          <w:numId w:val="1002"/>
        </w:numPr>
      </w:pPr>
      <w:r>
        <w:t xml:space="preserve">Raise taxes on coal, gas and oil production. We can do it for</w:t>
      </w:r>
      <w:r>
        <w:t xml:space="preserve"> </w:t>
      </w:r>
      <w:r>
        <w:t xml:space="preserve">tobacco we can do it for fossil fuels.</w:t>
      </w:r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31">
    <w:nsid w:val="00A99431"/>
    <w:multiLevelType w:val="multilevel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</w:lvl>
    <w:lvl w:ilvl="2">
      <w:start w:val="1"/>
      <w:numFmt w:val="decimal"/>
      <w:lvlText w:val="(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decimal"/>
      <w:lvlText w:val="(%5)"/>
      <w:lvlJc w:val="left"/>
      <w:pPr>
        <w:ind w:left="3600" w:hanging="360"/>
      </w:pPr>
    </w:lvl>
    <w:lvl w:ilvl="5">
      <w:start w:val="1"/>
      <w:numFmt w:val="decimal"/>
      <w:lvlText w:val="(%6)"/>
      <w:lvlJc w:val="left"/>
      <w:pPr>
        <w:ind w:left="4320" w:hanging="360"/>
      </w:pPr>
    </w:lvl>
    <w:lvl w:ilvl="6">
      <w:start w:val="1"/>
      <w:numFmt w:val="decimal"/>
      <w:lvlText w:val="(%7)"/>
      <w:lvlJc w:val="left"/>
      <w:pPr>
        <w:ind w:left="5040" w:hanging="360"/>
      </w:pPr>
    </w:lvl>
    <w:lvl w:ilvl="7">
      <w:start w:val="1"/>
      <w:numFmt w:val="decimal"/>
      <w:lvlText w:val="(%8)"/>
      <w:lvlJc w:val="left"/>
      <w:pPr>
        <w:ind w:left="5760" w:hanging="360"/>
      </w:pPr>
    </w:lvl>
    <w:lvl w:ilvl="8">
      <w:start w:val="1"/>
      <w:numFmt w:val="decimal"/>
      <w:lvlText w:val="(%9)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4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26" Target="media/rId26.png" /><Relationship Type="http://schemas.openxmlformats.org/officeDocument/2006/relationships/hyperlink" Id="rId25" Target="https://reneweconomy.com.au/a-first-look-at-federal-labors-emissions-plan-finds-it-wholly-insufficient/" TargetMode="External" /><Relationship Type="http://schemas.openxmlformats.org/officeDocument/2006/relationships/hyperlink" Id="rId31" Target="https://unctad.org/system/files/official-document/rmt2019_en.pdf" TargetMode="External" /><Relationship Type="http://schemas.openxmlformats.org/officeDocument/2006/relationships/hyperlink" Id="rId23" Target="https://www.energy.gov.au/sites/default/files/Australian%20Energy%20Flows%202019-20_0.pdf" TargetMode="External" /><Relationship Type="http://schemas.openxmlformats.org/officeDocument/2006/relationships/hyperlink" Id="rId30" Target="https://www.transportenvironment.org/challenges/ships/greenhouse-gases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5" Target="https://reneweconomy.com.au/a-first-look-at-federal-labors-emissions-plan-finds-it-wholly-insufficient/" TargetMode="External" /><Relationship Type="http://schemas.openxmlformats.org/officeDocument/2006/relationships/hyperlink" Id="rId31" Target="https://unctad.org/system/files/official-document/rmt2019_en.pdf" TargetMode="External" /><Relationship Type="http://schemas.openxmlformats.org/officeDocument/2006/relationships/hyperlink" Id="rId23" Target="https://www.energy.gov.au/sites/default/files/Australian%20Energy%20Flows%202019-20_0.pdf" TargetMode="External" /><Relationship Type="http://schemas.openxmlformats.org/officeDocument/2006/relationships/hyperlink" Id="rId30" Target="https://www.transportenvironment.org/challenges/ships/greenhouse-gases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 Primary Energy</dc:title>
  <dc:creator>David Leitch</dc:creator>
  <cp:keywords/>
  <dcterms:created xsi:type="dcterms:W3CDTF">2026-02-01T05:38:44Z</dcterms:created>
  <dcterms:modified xsi:type="dcterms:W3CDTF">2026-02-01T05:38:44Z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categories">
    <vt:lpwstr/>
  </property>
  <property fmtid="{D5CDD505-2E9C-101B-9397-08002B2CF9AE}" pid="6" name="date">
    <vt:lpwstr>2022-09-24</vt:lpwstr>
  </property>
  <property fmtid="{D5CDD505-2E9C-101B-9397-08002B2CF9AE}" pid="7" name="draft">
    <vt:lpwstr>False</vt:lpwstr>
  </property>
  <property fmtid="{D5CDD505-2E9C-101B-9397-08002B2CF9AE}" pid="8" name="header-includes">
    <vt:lpwstr/>
  </property>
  <property fmtid="{D5CDD505-2E9C-101B-9397-08002B2CF9AE}" pid="9" name="image">
    <vt:lpwstr>media/media/image1.png</vt:lpwstr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lightbox">
    <vt:lpwstr>True</vt:lpwstr>
  </property>
  <property fmtid="{D5CDD505-2E9C-101B-9397-08002B2CF9AE}" pid="14" name="tbl-cap-location">
    <vt:lpwstr>bottom</vt:lpwstr>
  </property>
  <property fmtid="{D5CDD505-2E9C-101B-9397-08002B2CF9AE}" pid="15" name="title-block-banner">
    <vt:lpwstr>True</vt:lpwstr>
  </property>
  <property fmtid="{D5CDD505-2E9C-101B-9397-08002B2CF9AE}" pid="16" name="toc-title">
    <vt:lpwstr>Table of contents</vt:lpwstr>
  </property>
</Properties>
</file>