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Sharpe Ratio capital cost with firming</w:t>
      </w:r>
    </w:p>
    <w:p>
      <w:pPr>
        <w:pStyle w:val="Author"/>
      </w:pPr>
      <w:r>
        <w:t xml:space="preserve">Paul Bandarian, David Leitch</w:t>
      </w:r>
    </w:p>
    <w:p>
      <w:pPr>
        <w:pStyle w:val="Date"/>
      </w:pPr>
      <w:r>
        <w:t xml:space="preserve">2024-02-08</w:t>
      </w:r>
    </w:p>
    <w:bookmarkStart w:id="20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As we were reminded (several times) in AEMO’s 2024 Draft Integrated</w:t>
      </w:r>
      <w:r>
        <w:t xml:space="preserve"> </w:t>
      </w:r>
      <w:r>
        <w:t xml:space="preserve">System Plan (ISP),</w:t>
      </w:r>
      <w:r>
        <w:t xml:space="preserve"> </w:t>
      </w:r>
      <w:r>
        <w:rPr>
          <w:i/>
          <w:iCs/>
        </w:rPr>
        <w:t xml:space="preserve">“Renewable energy connected by transmission, firmed</w:t>
      </w:r>
      <w:r>
        <w:rPr>
          <w:i/>
          <w:iCs/>
        </w:rPr>
        <w:t xml:space="preserve"> </w:t>
      </w:r>
      <w:r>
        <w:rPr>
          <w:i/>
          <w:iCs/>
        </w:rPr>
        <w:t xml:space="preserve">with storage and backed up by gas is the lowest cost way to supply</w:t>
      </w:r>
      <w:r>
        <w:rPr>
          <w:i/>
          <w:iCs/>
        </w:rPr>
        <w:t xml:space="preserve"> </w:t>
      </w:r>
      <w:r>
        <w:rPr>
          <w:i/>
          <w:iCs/>
        </w:rPr>
        <w:t xml:space="preserve">electricity to homes and businesses throughout Australia’s transition to</w:t>
      </w:r>
      <w:r>
        <w:rPr>
          <w:i/>
          <w:iCs/>
        </w:rPr>
        <w:t xml:space="preserve"> </w:t>
      </w:r>
      <w:r>
        <w:rPr>
          <w:i/>
          <w:iCs/>
        </w:rPr>
        <w:t xml:space="preserve">a net zero economy</w:t>
      </w:r>
      <w:r>
        <w:t xml:space="preserve">”.</w:t>
      </w:r>
    </w:p>
    <w:p>
      <w:pPr>
        <w:pStyle w:val="BodyText"/>
      </w:pPr>
      <w:r>
        <w:t xml:space="preserve">In light of AEMO’s assertion, starting with a fresh sheet of paper we</w:t>
      </w:r>
      <w:r>
        <w:t xml:space="preserve"> </w:t>
      </w:r>
      <w:r>
        <w:t xml:space="preserve">built a maximum Sharpe ratio wind and solar portfolio, added in existing</w:t>
      </w:r>
      <w:r>
        <w:t xml:space="preserve"> </w:t>
      </w:r>
      <w:r>
        <w:t xml:space="preserve">behind the meter and firmed it with batteries, hydro and gas to meet</w:t>
      </w:r>
      <w:r>
        <w:t xml:space="preserve"> </w:t>
      </w:r>
      <w:r>
        <w:t xml:space="preserve">NEM-wide operational demand for the calendar year 2025. Professor</w:t>
      </w:r>
      <w:r>
        <w:t xml:space="preserve"> </w:t>
      </w:r>
      <w:r>
        <w:t xml:space="preserve">William Sharpe won a Nobel prize in 1990 for his contributions to the</w:t>
      </w:r>
      <w:r>
        <w:t xml:space="preserve"> </w:t>
      </w:r>
      <w:r>
        <w:t xml:space="preserve">Capital Asset Pricing Model (CAPM) in finance and also developed the</w:t>
      </w:r>
      <w:r>
        <w:t xml:space="preserve"> </w:t>
      </w:r>
      <w:r>
        <w:t xml:space="preserve">so-called Sharpe Ratio. The key insights of Sharpe and his colleagues</w:t>
      </w:r>
      <w:r>
        <w:t xml:space="preserve"> </w:t>
      </w:r>
      <w:r>
        <w:t xml:space="preserve">was to show that a portfolio of shares would have a lower variability</w:t>
      </w:r>
      <w:r>
        <w:t xml:space="preserve"> </w:t>
      </w:r>
      <w:r>
        <w:t xml:space="preserve">for a given return than any individual stock. A corollary is that it’s</w:t>
      </w:r>
      <w:r>
        <w:t xml:space="preserve"> </w:t>
      </w:r>
      <w:r>
        <w:t xml:space="preserve">the contribution of the stock to the portfolio that matters rather than</w:t>
      </w:r>
      <w:r>
        <w:t xml:space="preserve"> </w:t>
      </w:r>
      <w:r>
        <w:t xml:space="preserve">the merits of the stock in isolation. It seemed to us that these</w:t>
      </w:r>
      <w:r>
        <w:t xml:space="preserve"> </w:t>
      </w:r>
      <w:r>
        <w:t xml:space="preserve">concepts were applicable to wind and solar. A portfolio of wind and</w:t>
      </w:r>
      <w:r>
        <w:t xml:space="preserve"> </w:t>
      </w:r>
      <w:r>
        <w:t xml:space="preserve">solar farms will have a lower variation for a given capacity factor than</w:t>
      </w:r>
      <w:r>
        <w:t xml:space="preserve"> </w:t>
      </w:r>
      <w:r>
        <w:t xml:space="preserve">individual projects. The Sharpe ratio for wind and solar projects is</w:t>
      </w:r>
      <w:r>
        <w:t xml:space="preserve"> </w:t>
      </w:r>
      <w:r>
        <w:t xml:space="preserve">operationalised as the expected capacity factor/divided by standard</w:t>
      </w:r>
      <w:r>
        <w:t xml:space="preserve"> </w:t>
      </w:r>
      <w:r>
        <w:t xml:space="preserve">deviation.</w:t>
      </w:r>
    </w:p>
    <w:p>
      <w:pPr>
        <w:pStyle w:val="BodyText"/>
      </w:pPr>
      <w:r>
        <w:t xml:space="preserve">Using Python and an optimiser and AEMO half hourly REZ traces for wind</w:t>
      </w:r>
      <w:r>
        <w:t xml:space="preserve"> </w:t>
      </w:r>
      <w:r>
        <w:t xml:space="preserve">and solar we built a 1 MW maximum Sharpe ratio portfolio and then using</w:t>
      </w:r>
      <w:r>
        <w:t xml:space="preserve"> </w:t>
      </w:r>
      <w:r>
        <w:t xml:space="preserve">AEMO half hourly demand forecasts scaled the portfolio so that total</w:t>
      </w:r>
      <w:r>
        <w:t xml:space="preserve"> </w:t>
      </w:r>
      <w:r>
        <w:t xml:space="preserve">demand equalled total supply. Then we calculated sequential half hourly</w:t>
      </w:r>
      <w:r>
        <w:t xml:space="preserve"> </w:t>
      </w:r>
      <w:r>
        <w:t xml:space="preserve">demand and supply balance resulting in either energy available for</w:t>
      </w:r>
      <w:r>
        <w:t xml:space="preserve"> </w:t>
      </w:r>
      <w:r>
        <w:t xml:space="preserve">storage or firming required. Enough firming was provided so that demand</w:t>
      </w:r>
      <w:r>
        <w:t xml:space="preserve"> </w:t>
      </w:r>
      <w:r>
        <w:t xml:space="preserve">was met in every half hour for CY 2025. We then applied capital costs,</w:t>
      </w:r>
      <w:r>
        <w:t xml:space="preserve"> </w:t>
      </w:r>
      <w:r>
        <w:t xml:space="preserve">and in the case of gas fuel costs, to build up the total cost of the</w:t>
      </w:r>
      <w:r>
        <w:t xml:space="preserve"> </w:t>
      </w:r>
      <w:r>
        <w:t xml:space="preserve">system and then ran sensitivity tests with the objective of minimising</w:t>
      </w:r>
      <w:r>
        <w:t xml:space="preserve"> </w:t>
      </w:r>
      <w:r>
        <w:t xml:space="preserve">total system cost. Our work remains at an early stage, even though in</w:t>
      </w:r>
      <w:r>
        <w:t xml:space="preserve"> </w:t>
      </w:r>
      <w:r>
        <w:t xml:space="preserve">Leitch’s case he’s been developing this concept for more than four</w:t>
      </w:r>
      <w:r>
        <w:t xml:space="preserve"> </w:t>
      </w:r>
      <w:r>
        <w:t xml:space="preserve">years. A glaring, but soon to be remedied element of this thought</w:t>
      </w:r>
      <w:r>
        <w:t xml:space="preserve"> </w:t>
      </w:r>
      <w:r>
        <w:t xml:space="preserve">experiment is that transmission costs are not yet included. Once they</w:t>
      </w:r>
      <w:r>
        <w:t xml:space="preserve"> </w:t>
      </w:r>
      <w:r>
        <w:t xml:space="preserve">are we expect the optimal solution to change. To the extent this work</w:t>
      </w:r>
      <w:r>
        <w:t xml:space="preserve"> </w:t>
      </w:r>
      <w:r>
        <w:t xml:space="preserve">has any value it’s in comparing what a theoretical new system might look</w:t>
      </w:r>
      <w:r>
        <w:t xml:space="preserve"> </w:t>
      </w:r>
      <w:r>
        <w:t xml:space="preserve">like with the existing system. Above all the exercise shows the benefit</w:t>
      </w:r>
      <w:r>
        <w:t xml:space="preserve"> </w:t>
      </w:r>
      <w:r>
        <w:t xml:space="preserve">of diversification of renewable resource but, because of transmission,</w:t>
      </w:r>
      <w:r>
        <w:t xml:space="preserve"> </w:t>
      </w:r>
      <w:r>
        <w:t xml:space="preserve">the cost of achieving it. Another epiphany is that optimisation in the</w:t>
      </w:r>
      <w:r>
        <w:t xml:space="preserve"> </w:t>
      </w:r>
      <w:r>
        <w:t xml:space="preserve">use of storage assets can greatly reduce the overall cost.</w:t>
      </w:r>
    </w:p>
    <w:p>
      <w:pPr>
        <w:pStyle w:val="BodyText"/>
      </w:pPr>
      <w:r>
        <w:t xml:space="preserve">As part of the work, we take advantage of new data provided with the ISP</w:t>
      </w:r>
      <w:r>
        <w:t xml:space="preserve"> </w:t>
      </w:r>
      <w:r>
        <w:t xml:space="preserve">2024 data set such as sub regional demand and also briefly compared the</w:t>
      </w:r>
      <w:r>
        <w:t xml:space="preserve"> </w:t>
      </w:r>
      <w:r>
        <w:t xml:space="preserve">2024 ISP demand forecast with that of 2022.</w:t>
      </w:r>
    </w:p>
    <w:bookmarkEnd w:id="20"/>
    <w:bookmarkStart w:id="21" w:name="key-takeaways"/>
    <w:p>
      <w:pPr>
        <w:pStyle w:val="Heading1"/>
      </w:pPr>
      <w:r>
        <w:t xml:space="preserve">Key Takeaways</w:t>
      </w:r>
    </w:p>
    <w:p>
      <w:pPr>
        <w:numPr>
          <w:ilvl w:val="0"/>
          <w:numId w:val="1001"/>
        </w:numPr>
      </w:pPr>
      <w:r>
        <w:t xml:space="preserve">Industry lore of 75% wind / 25% solar holds (almost) true in our VRE</w:t>
      </w:r>
      <w:r>
        <w:t xml:space="preserve"> </w:t>
      </w:r>
      <w:r>
        <w:t xml:space="preserve">portfolio optimization exercise. We incentivised a model to generate</w:t>
      </w:r>
      <w:r>
        <w:t xml:space="preserve"> </w:t>
      </w:r>
      <w:r>
        <w:t xml:space="preserve">a solar/wind portfolio from AEMO’s Renewable Energy Zones (REZ’s)</w:t>
      </w:r>
      <w:r>
        <w:t xml:space="preserve"> </w:t>
      </w:r>
      <w:r>
        <w:t xml:space="preserve">that maximizes its return relative to risk (Sharpe ratio), and no</w:t>
      </w:r>
      <w:r>
        <w:t xml:space="preserve"> </w:t>
      </w:r>
      <w:r>
        <w:t xml:space="preserve">constraints were placed on the proportion of wind and solar, nor the</w:t>
      </w:r>
      <w:r>
        <w:t xml:space="preserve"> </w:t>
      </w:r>
      <w:r>
        <w:t xml:space="preserve">geographical distribution of the generation. The generated portfolio</w:t>
      </w:r>
      <w:r>
        <w:t xml:space="preserve"> </w:t>
      </w:r>
      <w:r>
        <w:t xml:space="preserve">came to 77% wind, 23% solar. Indeed, in subsequent sensitivity</w:t>
      </w:r>
      <w:r>
        <w:t xml:space="preserve"> </w:t>
      </w:r>
      <w:r>
        <w:t xml:space="preserve">analyses, varying the wind to solar ratio either side of this</w:t>
      </w:r>
      <w:r>
        <w:t xml:space="preserve"> </w:t>
      </w:r>
      <w:r>
        <w:t xml:space="preserve">optimum increased the long-term costs of the system (capital +</w:t>
      </w:r>
      <w:r>
        <w:t xml:space="preserve"> </w:t>
      </w:r>
      <w:r>
        <w:t xml:space="preserve">fuel + firming dispatch). Increasing solar % of the portfolio</w:t>
      </w:r>
      <w:r>
        <w:t xml:space="preserve"> </w:t>
      </w:r>
      <w:r>
        <w:t xml:space="preserve">decreases the upfront costs, but significantly increases firming</w:t>
      </w:r>
      <w:r>
        <w:t xml:space="preserve"> </w:t>
      </w:r>
      <w:r>
        <w:t xml:space="preserve">capacity requirements and expenditure on fuel for firming gas</w:t>
      </w:r>
      <w:r>
        <w:t xml:space="preserve"> </w:t>
      </w:r>
      <w:r>
        <w:t xml:space="preserve">generation over time.</w:t>
      </w:r>
    </w:p>
    <w:p>
      <w:pPr>
        <w:numPr>
          <w:ilvl w:val="0"/>
          <w:numId w:val="1001"/>
        </w:numPr>
      </w:pPr>
      <w:r>
        <w:t xml:space="preserve">Generation in this Sharpe-ratio optimized portfolio is very heavily</w:t>
      </w:r>
      <w:r>
        <w:t xml:space="preserve"> </w:t>
      </w:r>
      <w:r>
        <w:t xml:space="preserve">weighted to Far North Queensland. This portfolio sees Qld, SA, and</w:t>
      </w:r>
      <w:r>
        <w:t xml:space="preserve"> </w:t>
      </w:r>
      <w:r>
        <w:t xml:space="preserve">Tas being net exporters, NSW and Vic net importers of energy. Given</w:t>
      </w:r>
      <w:r>
        <w:t xml:space="preserve"> </w:t>
      </w:r>
      <w:r>
        <w:t xml:space="preserve">the location of the demand centres, it is highly likely that an</w:t>
      </w:r>
      <w:r>
        <w:t xml:space="preserve"> </w:t>
      </w:r>
      <w:r>
        <w:t xml:space="preserve">optimized system which accounts for transmission costs will shift</w:t>
      </w:r>
      <w:r>
        <w:t xml:space="preserve"> </w:t>
      </w:r>
      <w:r>
        <w:t xml:space="preserve">generation further South.</w:t>
      </w:r>
    </w:p>
    <w:p>
      <w:pPr>
        <w:numPr>
          <w:ilvl w:val="0"/>
          <w:numId w:val="1001"/>
        </w:numPr>
      </w:pPr>
      <w:r>
        <w:t xml:space="preserve">The optimized VRE + Firming Capacity system modelled in this</w:t>
      </w:r>
      <w:r>
        <w:t xml:space="preserve"> </w:t>
      </w:r>
      <w:r>
        <w:t xml:space="preserve">analysis requires: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56 GW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Variable Renewable Energy capacity</w:t>
      </w:r>
      <w:r>
        <w:t xml:space="preserve"> </w:t>
      </w:r>
      <w:r>
        <w:t xml:space="preserve">supplying</w:t>
      </w:r>
      <w:r>
        <w:t xml:space="preserve"> </w:t>
      </w:r>
      <w:r>
        <w:rPr>
          <w:b/>
          <w:bCs/>
          <w:i/>
          <w:iCs/>
        </w:rPr>
        <w:t xml:space="preserve">160 TWh</w:t>
      </w:r>
      <w:r>
        <w:t xml:space="preserve"> </w:t>
      </w:r>
      <w:r>
        <w:t xml:space="preserve">of energy in 2025,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15 GW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  <w:i/>
          <w:iCs/>
        </w:rPr>
        <w:t xml:space="preserve">4 hours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storage capacity</w:t>
      </w:r>
      <w:r>
        <w:t xml:space="preserve"> </w:t>
      </w:r>
      <w:r>
        <w:t xml:space="preserve">supplying</w:t>
      </w:r>
      <w:r>
        <w:t xml:space="preserve"> </w:t>
      </w:r>
      <w:r>
        <w:rPr>
          <w:b/>
          <w:bCs/>
          <w:i/>
          <w:iCs/>
        </w:rPr>
        <w:t xml:space="preserve">3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TWh</w:t>
      </w:r>
      <w:r>
        <w:t xml:space="preserve"> </w:t>
      </w:r>
      <w:r>
        <w:t xml:space="preserve">of energy in 2025,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7.5 GW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  <w:i/>
          <w:iCs/>
        </w:rPr>
        <w:t xml:space="preserve">14TWh</w:t>
      </w:r>
      <w:r>
        <w:t xml:space="preserve"> </w:t>
      </w:r>
      <w:r>
        <w:t xml:space="preserve">of (existing)</w:t>
      </w:r>
      <w:r>
        <w:t xml:space="preserve"> </w:t>
      </w:r>
      <w:r>
        <w:rPr>
          <w:i/>
          <w:iCs/>
        </w:rPr>
        <w:t xml:space="preserve">Hydro</w:t>
      </w:r>
      <w:r>
        <w:t xml:space="preserve">, and</w:t>
      </w:r>
    </w:p>
    <w:p>
      <w:pPr>
        <w:numPr>
          <w:ilvl w:val="1"/>
          <w:numId w:val="1002"/>
        </w:numPr>
      </w:pPr>
      <w:r>
        <w:rPr>
          <w:b/>
          <w:bCs/>
          <w:i/>
          <w:iCs/>
        </w:rPr>
        <w:t xml:space="preserve">8 GW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open cycle gas</w:t>
      </w:r>
      <w:r>
        <w:t xml:space="preserve"> </w:t>
      </w:r>
      <w:r>
        <w:t xml:space="preserve">supplying</w:t>
      </w:r>
      <w:r>
        <w:t xml:space="preserve"> </w:t>
      </w:r>
      <w:r>
        <w:rPr>
          <w:b/>
          <w:bCs/>
          <w:i/>
          <w:iCs/>
        </w:rPr>
        <w:t xml:space="preserve">4 TWh</w:t>
      </w:r>
      <w:r>
        <w:t xml:space="preserve"> </w:t>
      </w:r>
      <w:r>
        <w:t xml:space="preserve">of energy</w:t>
      </w:r>
      <w:r>
        <w:t xml:space="preserve"> </w:t>
      </w:r>
      <w:r>
        <w:t xml:space="preserve">in 2025.</w:t>
      </w:r>
    </w:p>
    <w:p>
      <w:pPr>
        <w:pStyle w:val="BlockText"/>
      </w:pPr>
      <w:r>
        <w:t xml:space="preserve">The total capital (excluding Hydro) is</w:t>
      </w:r>
      <w:r>
        <w:t xml:space="preserve"> </w:t>
      </w:r>
      <w:r>
        <w:rPr>
          <w:b/>
          <w:bCs/>
          <w:i/>
          <w:iCs/>
        </w:rPr>
        <w:t xml:space="preserve">$169 billion</w:t>
      </w:r>
      <w:r>
        <w:t xml:space="preserve">. The VRE</w:t>
      </w:r>
      <w:r>
        <w:t xml:space="preserve"> </w:t>
      </w:r>
      <w:r>
        <w:t xml:space="preserve">cost is</w:t>
      </w:r>
      <w:r>
        <w:t xml:space="preserve"> </w:t>
      </w:r>
      <w:r>
        <w:rPr>
          <w:b/>
          <w:bCs/>
          <w:i/>
          <w:iCs/>
        </w:rPr>
        <w:t xml:space="preserve">$123 billion</w:t>
      </w:r>
      <w:r>
        <w:t xml:space="preserve">, and gas firming capacity cost</w:t>
      </w:r>
      <w:r>
        <w:t xml:space="preserve"> </w:t>
      </w:r>
      <w:r>
        <w:rPr>
          <w:b/>
          <w:bCs/>
          <w:i/>
          <w:iCs/>
        </w:rPr>
        <w:t xml:space="preserve">$46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billion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The amount of battery storage required is dependent on the order in</w:t>
      </w:r>
      <w:r>
        <w:t xml:space="preserve"> </w:t>
      </w:r>
      <w:r>
        <w:t xml:space="preserve">which firming resources are used. If Batteries are dispatched first</w:t>
      </w:r>
      <w:r>
        <w:t xml:space="preserve"> </w:t>
      </w:r>
      <w:r>
        <w:t xml:space="preserve">the seasonal nature of VRE production means that there will be large</w:t>
      </w:r>
      <w:r>
        <w:t xml:space="preserve"> </w:t>
      </w:r>
      <w:r>
        <w:t xml:space="preserve">surpluses at times but also very large deficits. If dispatched last</w:t>
      </w:r>
      <w:r>
        <w:t xml:space="preserve"> </w:t>
      </w:r>
      <w:r>
        <w:t xml:space="preserve">the batteries spend too much time at full capacity with surplus VRE</w:t>
      </w:r>
      <w:r>
        <w:t xml:space="preserve"> </w:t>
      </w:r>
      <w:r>
        <w:t xml:space="preserve">wasted. Realistically there is a large incentive to discharge full</w:t>
      </w:r>
      <w:r>
        <w:t xml:space="preserve"> </w:t>
      </w:r>
      <w:r>
        <w:t xml:space="preserve">batteries when sunlight is abundant. By dispatching batteries first</w:t>
      </w:r>
      <w:r>
        <w:t xml:space="preserve"> </w:t>
      </w:r>
      <w:r>
        <w:t xml:space="preserve">in Summer but last in winter, an additional</w:t>
      </w:r>
      <w:r>
        <w:t xml:space="preserve"> </w:t>
      </w:r>
      <w:r>
        <w:rPr>
          <w:b/>
          <w:bCs/>
          <w:i/>
          <w:iCs/>
        </w:rPr>
        <w:t xml:space="preserve">2.6 TWh</w:t>
      </w:r>
      <w:r>
        <w:t xml:space="preserve"> </w:t>
      </w:r>
      <w:r>
        <w:t xml:space="preserve">of</w:t>
      </w:r>
      <w:r>
        <w:t xml:space="preserve"> </w:t>
      </w:r>
      <w:r>
        <w:t xml:space="preserve">additional energy can be supplied by batteries instead of gas.</w:t>
      </w:r>
      <w:r>
        <w:t xml:space="preserve"> </w:t>
      </w:r>
      <w:r>
        <w:t xml:space="preserve">Refining the dispatch algorithm seems to offer the promise of</w:t>
      </w:r>
      <w:r>
        <w:t xml:space="preserve"> </w:t>
      </w:r>
      <w:r>
        <w:t xml:space="preserve">further reducing the overall theoretical cost.</w:t>
      </w:r>
    </w:p>
    <w:bookmarkEnd w:id="21"/>
    <w:bookmarkStart w:id="28" w:name="isp-vs.-2024-isp"/>
    <w:p>
      <w:pPr>
        <w:pStyle w:val="Heading1"/>
      </w:pPr>
      <w:r>
        <w:t xml:space="preserve">2022 ISP vs. 2024 ISP</w:t>
      </w:r>
    </w:p>
    <w:p>
      <w:pPr>
        <w:pStyle w:val="FirstParagraph"/>
      </w:pPr>
      <w:r>
        <w:t xml:space="preserve">The 2024 ISP generally forecasts higher rooftop PV compared with the</w:t>
      </w:r>
      <w:r>
        <w:t xml:space="preserve"> </w:t>
      </w:r>
      <w:r>
        <w:t xml:space="preserve">2022 ISP. This gap starts relatively small (around 2023-2025) and</w:t>
      </w:r>
      <w:r>
        <w:t xml:space="preserve"> </w:t>
      </w:r>
      <w:r>
        <w:t xml:space="preserve">significantly widens over time. According to the AEMO 2024 Draft ISP</w:t>
      </w:r>
      <w:r>
        <w:t xml:space="preserve"> </w:t>
      </w:r>
      <w:r>
        <w:rPr>
          <w:i/>
          <w:iCs/>
        </w:rPr>
        <w:t xml:space="preserve">“Consumer Energy Sources are forecasted to be taken up even faster than</w:t>
      </w:r>
      <w:r>
        <w:rPr>
          <w:i/>
          <w:iCs/>
        </w:rPr>
        <w:t xml:space="preserve"> </w:t>
      </w:r>
      <w:r>
        <w:rPr>
          <w:i/>
          <w:iCs/>
        </w:rPr>
        <w:t xml:space="preserve">before, with 18GW more rooftop solar by 2050 under Step Change compared</w:t>
      </w:r>
      <w:r>
        <w:rPr>
          <w:i/>
          <w:iCs/>
        </w:rPr>
        <w:t xml:space="preserve"> </w:t>
      </w:r>
      <w:r>
        <w:rPr>
          <w:i/>
          <w:iCs/>
        </w:rPr>
        <w:t xml:space="preserve">to the 2022 ISP”</w:t>
      </w:r>
      <w:r>
        <w:t xml:space="preserve">. Increased EV uptake also significantly bumps daytime</w:t>
      </w:r>
      <w:r>
        <w:t xml:space="preserve"> </w:t>
      </w:r>
      <w:r>
        <w:t xml:space="preserve">total demand, as consumers leverage increased rooftop solar to charge</w:t>
      </w:r>
      <w:r>
        <w:t xml:space="preserve"> </w:t>
      </w:r>
      <w:r>
        <w:t xml:space="preserve">their cars.</w:t>
      </w:r>
    </w:p>
    <w:p>
      <w:pPr>
        <w:pStyle w:val="BodyText"/>
      </w:pPr>
      <w:r>
        <w:drawing>
          <wp:inline>
            <wp:extent cx="5334000" cy="2065254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media/media/image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5334000" cy="206525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edia/media/image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– 2024 ISP demand forecast compared to 2022 forecast by time</w:t>
      </w:r>
      <w:r>
        <w:t xml:space="preserve"> </w:t>
      </w:r>
      <w:r>
        <w:t xml:space="preserve">of day in 2050 (Source:</w:t>
      </w:r>
      <w:r>
        <w:t xml:space="preserve"> </w:t>
      </w:r>
      <w:r>
        <w:rPr>
          <w:i/>
          <w:iCs/>
        </w:rPr>
        <w:t xml:space="preserve">AEMO 2022 ISP and 2024 Draft ISP)</w:t>
      </w:r>
    </w:p>
    <w:bookmarkEnd w:id="28"/>
    <w:bookmarkStart w:id="34" w:name="sharpe-ratio-optimized-vre-portfolio"/>
    <w:p>
      <w:pPr>
        <w:pStyle w:val="Heading1"/>
      </w:pPr>
      <w:r>
        <w:t xml:space="preserve">Sharpe-Ratio-Optimized VRE Portfolio</w:t>
      </w:r>
    </w:p>
    <w:bookmarkStart w:id="29" w:name="Xd35673ad0f6004ef23d7d490671d87b6a3666bf"/>
    <w:p>
      <w:pPr>
        <w:pStyle w:val="Heading2"/>
      </w:pPr>
      <w:r>
        <w:t xml:space="preserve">Sharpe Ratio and Portfolio Diversification</w:t>
      </w:r>
    </w:p>
    <w:p>
      <w:pPr>
        <w:pStyle w:val="FirstParagraph"/>
      </w:pPr>
      <w:r>
        <w:t xml:space="preserve">Using 2022 ISP wind and solar half hourly traces from 2023/07/01 –</w:t>
      </w:r>
      <w:r>
        <w:t xml:space="preserve"> </w:t>
      </w:r>
      <w:r>
        <w:t xml:space="preserve">2052/06/30 (508464 datapoints) we generated a VRE portfolio that</w:t>
      </w:r>
      <w:r>
        <w:t xml:space="preserve"> </w:t>
      </w:r>
      <w:r>
        <w:t xml:space="preserve">maximizes return (mean REZ capacity factor) relative to risk (standard</w:t>
      </w:r>
      <w:r>
        <w:t xml:space="preserve"> </w:t>
      </w:r>
      <w:r>
        <w:t xml:space="preserve">deviation of REZ capacity factors). In other words, weights are</w:t>
      </w:r>
      <w:r>
        <w:t xml:space="preserve"> </w:t>
      </w:r>
      <w:r>
        <w:t xml:space="preserve">distributed across the REZ’s in order to maximize the portfolio’s Sharpe</w:t>
      </w:r>
      <w:r>
        <w:t xml:space="preserve"> </w:t>
      </w:r>
      <w:r>
        <w:t xml:space="preserve">ratio. While our optimizer doesn't impose geographical distribution</w:t>
      </w:r>
      <w:r>
        <w:t xml:space="preserve"> </w:t>
      </w:r>
      <w:r>
        <w:t xml:space="preserve">constraints, the Sharpe ratio inherently encourages diversification</w:t>
      </w:r>
      <w:r>
        <w:t xml:space="preserve"> </w:t>
      </w:r>
      <w:r>
        <w:t xml:space="preserve">across REZ's by forcing it to reduce portfolio volatility. For</w:t>
      </w:r>
      <w:r>
        <w:t xml:space="preserve"> </w:t>
      </w:r>
      <w:r>
        <w:t xml:space="preserve">instance, when wind is subdued in Far North Queensland (Q1), it may be</w:t>
      </w:r>
      <w:r>
        <w:t xml:space="preserve"> </w:t>
      </w:r>
      <w:r>
        <w:t xml:space="preserve">blowing a gale in Tasmania, but probably not in the North Qld Clean</w:t>
      </w:r>
      <w:r>
        <w:t xml:space="preserve"> </w:t>
      </w:r>
      <w:r>
        <w:t xml:space="preserve">Energy Hub (Q2). Indeed, a 50% Q1 wind / 50% Q2 wind portfolio has a</w:t>
      </w:r>
      <w:r>
        <w:t xml:space="preserve"> </w:t>
      </w:r>
      <w:r>
        <w:t xml:space="preserve">lower Sharpe ratio than 50% Q1 wind / 50% T1 wind (0.95 compared to</w:t>
      </w:r>
      <w:r>
        <w:t xml:space="preserve"> </w:t>
      </w:r>
      <w:r>
        <w:t xml:space="preserve">1.03), to provide a very simple example. For the same reason, the Sharpe</w:t>
      </w:r>
      <w:r>
        <w:t xml:space="preserve"> </w:t>
      </w:r>
      <w:r>
        <w:t xml:space="preserve">ratio incentivises a mix of solar and wind – the wind still blows while</w:t>
      </w:r>
      <w:r>
        <w:t xml:space="preserve"> </w:t>
      </w:r>
      <w:r>
        <w:t xml:space="preserve">the sun doesn’t shine – even though wind on average has a much higher</w:t>
      </w:r>
      <w:r>
        <w:t xml:space="preserve"> </w:t>
      </w:r>
      <w:r>
        <w:t xml:space="preserve">average capacity factor than solar.</w:t>
      </w:r>
    </w:p>
    <w:bookmarkEnd w:id="29"/>
    <w:bookmarkStart w:id="33" w:name="result"/>
    <w:p>
      <w:pPr>
        <w:pStyle w:val="Heading2"/>
      </w:pPr>
      <w:r>
        <w:t xml:space="preserve">Result</w:t>
      </w:r>
    </w:p>
    <w:p>
      <w:pPr>
        <w:pStyle w:val="FirstParagraph"/>
      </w:pPr>
      <w:r>
        <w:t xml:space="preserve">Figure 2 shows how the Sharpe-ratio optimized portfolio is distributed</w:t>
      </w:r>
      <w:r>
        <w:t xml:space="preserve"> </w:t>
      </w:r>
      <w:r>
        <w:t xml:space="preserve">across the states and between solar and wind. It is heavily weighted to</w:t>
      </w:r>
      <w:r>
        <w:t xml:space="preserve"> </w:t>
      </w:r>
      <w:r>
        <w:t xml:space="preserve">Far North Queensland (REZ Q1), with 12.2% of the entire portfolio in Q1</w:t>
      </w:r>
      <w:r>
        <w:t xml:space="preserve"> </w:t>
      </w:r>
      <w:r>
        <w:t xml:space="preserve">wind and 5.4% in Q1 solar. Figure 7 illustrates how the weights are</w:t>
      </w:r>
      <w:r>
        <w:t xml:space="preserve"> </w:t>
      </w:r>
      <w:r>
        <w:t xml:space="preserve">distributed across the REZ’s. Conceptually, the optimization algorithm</w:t>
      </w:r>
      <w:r>
        <w:t xml:space="preserve"> </w:t>
      </w:r>
      <w:r>
        <w:t xml:space="preserve">has sought out a high capacity-factor wind REZ and heavily weighted</w:t>
      </w:r>
      <w:r>
        <w:t xml:space="preserve"> </w:t>
      </w:r>
      <w:r>
        <w:t xml:space="preserve">towards that, while still allocating the rest of its weight</w:t>
      </w:r>
      <w:r>
        <w:t xml:space="preserve"> </w:t>
      </w:r>
      <w:r>
        <w:rPr>
          <w:i/>
          <w:iCs/>
        </w:rPr>
        <w:t xml:space="preserve">relatively</w:t>
      </w:r>
      <w:r>
        <w:t xml:space="preserve"> </w:t>
      </w:r>
      <w:r>
        <w:t xml:space="preserve">evenly across the country. Also note that the Queensland REZ’s are</w:t>
      </w:r>
      <w:r>
        <w:t xml:space="preserve"> </w:t>
      </w:r>
      <w:r>
        <w:t xml:space="preserve">spread over a wider range of latitudes than the REZ’s in other states.</w:t>
      </w:r>
      <w:r>
        <w:t xml:space="preserve"> </w:t>
      </w:r>
      <w:r>
        <w:t xml:space="preserve">The portfolio sees Queensland as by far the biggest generator and has a</w:t>
      </w:r>
      <w:r>
        <w:t xml:space="preserve"> </w:t>
      </w:r>
      <w:r>
        <w:t xml:space="preserve">wind to solar ratio that is line with industry lore, 77% wind, 23% solar</w:t>
      </w:r>
      <w:r>
        <w:t xml:space="preserve"> </w:t>
      </w:r>
      <w:r>
        <w:t xml:space="preserve">(lore ~ 75, 25).</w:t>
      </w:r>
    </w:p>
    <w:p>
      <w:pPr>
        <w:pStyle w:val="BodyText"/>
      </w:pPr>
      <w:r>
        <w:t xml:space="preserve">It’s worth noting that during a quick VRE portfolio cost minimization</w:t>
      </w:r>
      <w:r>
        <w:t xml:space="preserve"> </w:t>
      </w:r>
      <w:r>
        <w:t xml:space="preserve">exercise – algorithm was incentivised to minimize total capital cost of</w:t>
      </w:r>
      <w:r>
        <w:t xml:space="preserve"> </w:t>
      </w:r>
      <w:r>
        <w:t xml:space="preserve">VRE portfolio – with the constraints (1) NEM OPSO demand is met and (2)</w:t>
      </w:r>
      <w:r>
        <w:t xml:space="preserve"> </w:t>
      </w:r>
      <w:r>
        <w:t xml:space="preserve">a minimum Sharpe ratio was exceeded: Q1 was weighted even more heavily</w:t>
      </w:r>
      <w:r>
        <w:t xml:space="preserve"> </w:t>
      </w:r>
      <w:r>
        <w:t xml:space="preserve">(&gt; 30% of total portfolio). Again, this makes sense conceptually. As we</w:t>
      </w:r>
      <w:r>
        <w:t xml:space="preserve"> </w:t>
      </w:r>
      <w:r>
        <w:t xml:space="preserve">reduce the incentive of the optimizer to increase the Sharpe ratio, its</w:t>
      </w:r>
      <w:r>
        <w:t xml:space="preserve"> </w:t>
      </w:r>
      <w:r>
        <w:t xml:space="preserve">incentive to diversify the portfolio diminishes, leading to a greater</w:t>
      </w:r>
      <w:r>
        <w:t xml:space="preserve"> </w:t>
      </w:r>
      <w:r>
        <w:t xml:space="preserve">emphasis on high-capacity-factor REZ’s. In this case, the algorithm</w:t>
      </w:r>
      <w:r>
        <w:t xml:space="preserve"> </w:t>
      </w:r>
      <w:r>
        <w:t xml:space="preserve">cares more about maximizing capacity factors and minimizing cost / MW of</w:t>
      </w:r>
      <w:r>
        <w:t xml:space="preserve"> </w:t>
      </w:r>
      <w:r>
        <w:t xml:space="preserve">generation than it does maximizing the stability of the system.</w:t>
      </w:r>
    </w:p>
    <w:p>
      <w:pPr>
        <w:pStyle w:val="CaptionedFigure"/>
      </w:pPr>
      <w:r>
        <w:drawing>
          <wp:inline>
            <wp:extent cx="5334000" cy="3313023"/>
            <wp:effectExtent b="0" l="0" r="0" t="0"/>
            <wp:docPr descr="A screen shot of a graph Description automatically generated" title="" id="31" name="Picture"/>
            <a:graphic>
              <a:graphicData uri="http://schemas.openxmlformats.org/drawingml/2006/picture">
                <pic:pic>
                  <pic:nvPicPr>
                    <pic:cNvPr descr="media/media/image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13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screen shot of a graph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2 – Tree map of Sharpe-Ratio Optimized Portfolio Distribution</w:t>
      </w:r>
    </w:p>
    <w:p>
      <w:pPr>
        <w:pStyle w:val="BodyText"/>
      </w:pPr>
      <w:r>
        <w:br/>
      </w:r>
    </w:p>
    <w:bookmarkEnd w:id="33"/>
    <w:bookmarkEnd w:id="34"/>
    <w:bookmarkStart w:id="41" w:name="state-demand-vs.-generation"/>
    <w:p>
      <w:pPr>
        <w:pStyle w:val="Heading1"/>
      </w:pPr>
      <w:r>
        <w:t xml:space="preserve">State Demand vs. Generation</w:t>
      </w:r>
    </w:p>
    <w:p>
      <w:pPr>
        <w:pStyle w:val="FirstParagraph"/>
      </w:pPr>
      <w:r>
        <w:t xml:space="preserve">Queensland, SA, and Tasmania will be net exporters and Victoria and New</w:t>
      </w:r>
      <w:r>
        <w:t xml:space="preserve"> </w:t>
      </w:r>
      <w:r>
        <w:t xml:space="preserve">South Wales net importers of energy based on our VRE portfolio and 2025</w:t>
      </w:r>
      <w:r>
        <w:t xml:space="preserve"> </w:t>
      </w:r>
      <w:r>
        <w:t xml:space="preserve">operational demand. The net importers happen to be the states with</w:t>
      </w:r>
      <w:r>
        <w:t xml:space="preserve"> </w:t>
      </w:r>
      <w:r>
        <w:t xml:space="preserve">densest population, by a significant margin, see Figure 3. Logically,</w:t>
      </w:r>
      <w:r>
        <w:t xml:space="preserve"> </w:t>
      </w:r>
      <w:r>
        <w:t xml:space="preserve">this net import/export status is</w:t>
      </w:r>
      <w:r>
        <w:t xml:space="preserve"> </w:t>
      </w:r>
      <w:r>
        <w:rPr>
          <w:i/>
          <w:iCs/>
        </w:rPr>
        <w:t xml:space="preserve">partially</w:t>
      </w:r>
      <w:r>
        <w:t xml:space="preserve"> </w:t>
      </w:r>
      <w:r>
        <w:t xml:space="preserve">explained by having less</w:t>
      </w:r>
      <w:r>
        <w:t xml:space="preserve"> </w:t>
      </w:r>
      <w:r>
        <w:t xml:space="preserve">land available for high quality renewable energy generation per</w:t>
      </w:r>
      <w:r>
        <w:t xml:space="preserve"> </w:t>
      </w:r>
      <w:r>
        <w:t xml:space="preserve">(energy-consuming)-capita in the densely populated states.</w:t>
      </w:r>
    </w:p>
    <w:p>
      <w:pPr>
        <w:pStyle w:val="CaptionedFigure"/>
      </w:pPr>
      <w:r>
        <w:drawing>
          <wp:inline>
            <wp:extent cx="4578350" cy="2755900"/>
            <wp:effectExtent b="0" l="0" r="0" t="0"/>
            <wp:docPr descr="A graph of numbers and lines Description automatically generated with medium confidence" title="" id="36" name="Picture"/>
            <a:graphic>
              <a:graphicData uri="http://schemas.openxmlformats.org/drawingml/2006/picture">
                <pic:pic>
                  <pic:nvPicPr>
                    <pic:cNvPr descr="media/media/image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numbers and lines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Figure 3 – Net Energy Balance and Population Density by State 2025</w:t>
      </w:r>
      <w:r>
        <w:t xml:space="preserve"> </w:t>
      </w:r>
      <w:r>
        <w:t xml:space="preserve">(Source:</w:t>
      </w:r>
      <w:r>
        <w:t xml:space="preserve"> </w:t>
      </w:r>
      <w:r>
        <w:rPr>
          <w:i/>
          <w:iCs/>
        </w:rPr>
        <w:t xml:space="preserve">AEMO 2022 ISP</w:t>
      </w:r>
      <w:r>
        <w:t xml:space="preserve">)</w:t>
      </w:r>
    </w:p>
    <w:p>
      <w:pPr>
        <w:pStyle w:val="CaptionedFigure"/>
      </w:pPr>
      <w:r>
        <w:drawing>
          <wp:inline>
            <wp:extent cx="4261484" cy="3091180"/>
            <wp:effectExtent b="0" l="0" r="0" t="0"/>
            <wp:docPr descr="A graph of different colored bars Description automatically generated" title="" id="39" name="Picture"/>
            <a:graphic>
              <a:graphicData uri="http://schemas.openxmlformats.org/drawingml/2006/picture">
                <pic:pic>
                  <pic:nvPicPr>
                    <pic:cNvPr descr="media/media/image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4" cy="30911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different colored bars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4 – Demand and Generation by State 2025 (Source:</w:t>
      </w:r>
      <w:r>
        <w:t xml:space="preserve"> </w:t>
      </w:r>
      <w:r>
        <w:rPr>
          <w:i/>
          <w:iCs/>
        </w:rPr>
        <w:t xml:space="preserve">AEMO 2022</w:t>
      </w:r>
      <w:r>
        <w:rPr>
          <w:i/>
          <w:iCs/>
        </w:rPr>
        <w:t xml:space="preserve"> </w:t>
      </w:r>
      <w:r>
        <w:rPr>
          <w:i/>
          <w:iCs/>
        </w:rPr>
        <w:t xml:space="preserve">ISP</w:t>
      </w:r>
      <w:r>
        <w:t xml:space="preserve">)</w:t>
      </w:r>
    </w:p>
    <w:p>
      <w:pPr>
        <w:pStyle w:val="BodyText"/>
      </w:pPr>
      <w:r>
        <w:t xml:space="preserve">It is also explained by the quality of renewable energy in each of the</w:t>
      </w:r>
      <w:r>
        <w:t xml:space="preserve"> </w:t>
      </w:r>
      <w:r>
        <w:t xml:space="preserve">states. Vic and NSW’s REZ’s have the lowest mean capacity factors,</w:t>
      </w:r>
      <w:r>
        <w:t xml:space="preserve"> </w:t>
      </w:r>
      <w:r>
        <w:t xml:space="preserve">highest CFs are in Tasmania and Queensland. Figure 5.</w:t>
      </w:r>
    </w:p>
    <w:tbl>
      <w:tblPr>
        <w:tblStyle w:val="Table"/>
        <w:tblW w:type="pct" w:w="4865"/>
        <w:tblLayout w:type="fixed"/>
        <w:tblLook w:firstRow="1" w:lastRow="0" w:firstColumn="0" w:lastColumn="0" w:noHBand="0" w:noVBand="0" w:val="0020"/>
      </w:tblPr>
      <w:tblGrid>
        <w:gridCol w:w="3531"/>
        <w:gridCol w:w="417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 Capacity Factor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Tasmania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Queensland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South Australia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South Wales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Victoria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0.294</w:t>
            </w:r>
          </w:p>
        </w:tc>
      </w:tr>
    </w:tbl>
    <w:p>
      <w:pPr>
        <w:pStyle w:val="BodyText"/>
      </w:pPr>
      <w:r>
        <w:t xml:space="preserve">Figure 5 – State average Renewable Energy Capacity Factors (Source:</w:t>
      </w:r>
      <w:r>
        <w:t xml:space="preserve"> </w:t>
      </w:r>
      <w:r>
        <w:rPr>
          <w:i/>
          <w:iCs/>
        </w:rPr>
        <w:t xml:space="preserve">AEMO 2022 ISP</w:t>
      </w:r>
      <w:r>
        <w:t xml:space="preserve">)</w:t>
      </w:r>
    </w:p>
    <w:bookmarkEnd w:id="41"/>
    <w:bookmarkStart w:id="48" w:name="sub-regional-demand"/>
    <w:p>
      <w:pPr>
        <w:pStyle w:val="Heading1"/>
      </w:pPr>
      <w:r>
        <w:t xml:space="preserve">Sub-Regional Demand</w:t>
      </w:r>
    </w:p>
    <w:p>
      <w:pPr>
        <w:pStyle w:val="FirstParagraph"/>
      </w:pPr>
      <w:r>
        <w:t xml:space="preserve">Figure 6 shows how heavily NEM demand is weighted towards the NEM’s</w:t>
      </w:r>
      <w:r>
        <w:t xml:space="preserve"> </w:t>
      </w:r>
      <w:r>
        <w:t xml:space="preserve">lower latitudes (Sydney-Newcastle-Wollongong and Victoria subregions</w:t>
      </w:r>
      <w:r>
        <w:t xml:space="preserve"> </w:t>
      </w:r>
      <w:r>
        <w:t xml:space="preserve">alone make up &gt; 50% of NEM demand in 2025).</w:t>
      </w:r>
    </w:p>
    <w:p>
      <w:pPr>
        <w:pStyle w:val="CaptionedFigure"/>
      </w:pPr>
      <w:r>
        <w:drawing>
          <wp:inline>
            <wp:extent cx="4596765" cy="3078480"/>
            <wp:effectExtent b="0" l="0" r="0" t="0"/>
            <wp:docPr descr="A graph of a number of people Description automatically generated with medium confidence" title="" id="43" name="Picture"/>
            <a:graphic>
              <a:graphicData uri="http://schemas.openxmlformats.org/drawingml/2006/picture">
                <pic:pic>
                  <pic:nvPicPr>
                    <pic:cNvPr descr="media/media/image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number of people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Figure 6 – 2025 OPSO Demand by NEM Subregion (Source:</w:t>
      </w:r>
      <w:r>
        <w:t xml:space="preserve"> </w:t>
      </w:r>
      <w:r>
        <w:rPr>
          <w:i/>
          <w:iCs/>
        </w:rPr>
        <w:t xml:space="preserve">AEMO 2024 Draft</w:t>
      </w:r>
      <w:r>
        <w:rPr>
          <w:i/>
          <w:iCs/>
        </w:rPr>
        <w:t xml:space="preserve"> </w:t>
      </w:r>
      <w:r>
        <w:rPr>
          <w:i/>
          <w:iCs/>
        </w:rPr>
        <w:t xml:space="preserve">ISP</w:t>
      </w:r>
      <w:r>
        <w:t xml:space="preserve">)</w:t>
      </w:r>
    </w:p>
    <w:p>
      <w:pPr>
        <w:pStyle w:val="BodyText"/>
      </w:pPr>
      <w:r>
        <w:t xml:space="preserve">To contextualize the distance between our VRE portfolio generation and</w:t>
      </w:r>
      <w:r>
        <w:t xml:space="preserve"> </w:t>
      </w:r>
      <w:r>
        <w:t xml:space="preserve">demand centres, Figure 7 illustrates demand by sub-region alongside VRE</w:t>
      </w:r>
      <w:r>
        <w:t xml:space="preserve"> </w:t>
      </w:r>
      <w:r>
        <w:t xml:space="preserve">portfolio generation on an Australian map. The significant distance</w:t>
      </w:r>
      <w:r>
        <w:t xml:space="preserve"> </w:t>
      </w:r>
      <w:r>
        <w:t xml:space="preserve">between the highest generating REZ's and the highest-demand sub-regions</w:t>
      </w:r>
      <w:r>
        <w:t xml:space="preserve"> </w:t>
      </w:r>
      <w:r>
        <w:t xml:space="preserve">underscores the need to incorporate associated transmission costs in</w:t>
      </w:r>
      <w:r>
        <w:t xml:space="preserve"> </w:t>
      </w:r>
      <w:r>
        <w:t xml:space="preserve">future iterations of portfolio optimization. Given the considerable</w:t>
      </w:r>
      <w:r>
        <w:t xml:space="preserve"> </w:t>
      </w:r>
      <w:r>
        <w:t xml:space="preserve">distance of the Far North Queensland REZ from major demand centres,</w:t>
      </w:r>
      <w:r>
        <w:t xml:space="preserve"> </w:t>
      </w:r>
      <w:r>
        <w:t xml:space="preserve">transmission costs are likely to redirect a lot of this energy</w:t>
      </w:r>
      <w:r>
        <w:t xml:space="preserve"> </w:t>
      </w:r>
      <w:r>
        <w:t xml:space="preserve">generation further South.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4952768" cy="75438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media/media/image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768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7 – Sharpe-Optimized Portfolio Generation (Source:</w:t>
      </w:r>
      <w:r>
        <w:t xml:space="preserve"> </w:t>
      </w:r>
      <w:r>
        <w:rPr>
          <w:i/>
          <w:iCs/>
        </w:rPr>
        <w:t xml:space="preserve">AEMO 2022</w:t>
      </w:r>
      <w:r>
        <w:rPr>
          <w:i/>
          <w:iCs/>
        </w:rPr>
        <w:t xml:space="preserve"> </w:t>
      </w:r>
      <w:r>
        <w:rPr>
          <w:i/>
          <w:iCs/>
        </w:rPr>
        <w:t xml:space="preserve">ISP</w:t>
      </w:r>
      <w:r>
        <w:t xml:space="preserve">) and AMEO Sub-Regional Demand (Source:</w:t>
      </w:r>
      <w:r>
        <w:t xml:space="preserve"> </w:t>
      </w:r>
      <w:r>
        <w:rPr>
          <w:i/>
          <w:iCs/>
        </w:rPr>
        <w:t xml:space="preserve">AEMO 2024 Draft ISP</w:t>
      </w:r>
      <w:r>
        <w:t xml:space="preserve">)</w:t>
      </w:r>
    </w:p>
    <w:bookmarkEnd w:id="48"/>
    <w:bookmarkStart w:id="50" w:name="method"/>
    <w:p>
      <w:pPr>
        <w:pStyle w:val="Heading1"/>
      </w:pPr>
      <w:r>
        <w:t xml:space="preserve">Method</w:t>
      </w:r>
    </w:p>
    <w:p>
      <w:pPr>
        <w:pStyle w:val="FirstParagraph"/>
      </w:pPr>
      <w:r>
        <w:t xml:space="preserve">A system was then designed to meet the NEM operational (OPSO) demand for</w:t>
      </w:r>
      <w:r>
        <w:t xml:space="preserve"> </w:t>
      </w:r>
      <w:r>
        <w:t xml:space="preserve">every half-hour period of the 2025 calendar year. ISP 2022 half hourly</w:t>
      </w:r>
      <w:r>
        <w:t xml:space="preserve"> </w:t>
      </w:r>
      <w:r>
        <w:t xml:space="preserve">demand traces for CY 2025 were used, 17520 datapoints. We have assumed</w:t>
      </w:r>
      <w:r>
        <w:t xml:space="preserve"> </w:t>
      </w:r>
      <w:r>
        <w:t xml:space="preserve">that energy flows freely from the REZ’s through to the demand centres as</w:t>
      </w:r>
      <w:r>
        <w:t xml:space="preserve"> </w:t>
      </w:r>
      <w:r>
        <w:t xml:space="preserve">required and assumed no transmission losses. A transmission network will</w:t>
      </w:r>
      <w:r>
        <w:t xml:space="preserve"> </w:t>
      </w:r>
      <w:r>
        <w:t xml:space="preserve">be modelled, and the cost of this transmission incorporated in</w:t>
      </w:r>
      <w:r>
        <w:t xml:space="preserve"> </w:t>
      </w:r>
      <w:r>
        <w:rPr>
          <w:i/>
          <w:iCs/>
        </w:rPr>
        <w:t xml:space="preserve">future</w:t>
      </w:r>
      <w:r>
        <w:rPr>
          <w:i/>
          <w:iCs/>
        </w:rPr>
        <w:t xml:space="preserve"> </w:t>
      </w:r>
      <w:r>
        <w:rPr>
          <w:i/>
          <w:iCs/>
        </w:rPr>
        <w:t xml:space="preserve">iterations</w:t>
      </w:r>
      <w:r>
        <w:t xml:space="preserve"> </w:t>
      </w:r>
      <w:r>
        <w:t xml:space="preserve">of this analysis. We then firm renewable energy generation</w:t>
      </w:r>
      <w:r>
        <w:t xml:space="preserve"> </w:t>
      </w:r>
      <w:r>
        <w:t xml:space="preserve">with storage capacity, pumped hydro, and open cycle gas, per the</w:t>
      </w:r>
      <w:r>
        <w:t xml:space="preserve"> </w:t>
      </w:r>
      <w:r>
        <w:t xml:space="preserve">following dispatch order.</w:t>
      </w:r>
    </w:p>
    <w:p>
      <w:pPr>
        <w:numPr>
          <w:ilvl w:val="0"/>
          <w:numId w:val="1004"/>
        </w:numPr>
      </w:pPr>
      <w:r>
        <w:t xml:space="preserve">Solar/wind energy is dispatched first. Where combined solar/wind</w:t>
      </w:r>
      <w:r>
        <w:t xml:space="preserve"> </w:t>
      </w:r>
      <w:r>
        <w:t xml:space="preserve">generation exceeds NEM demand, the energy is used to charge up</w:t>
      </w:r>
      <w:r>
        <w:t xml:space="preserve"> </w:t>
      </w:r>
      <w:r>
        <w:t xml:space="preserve">storage, or spilt when storage capacity is exceeded. For simplicity,</w:t>
      </w:r>
      <w:r>
        <w:t xml:space="preserve"> </w:t>
      </w:r>
      <w:r>
        <w:t xml:space="preserve">we have assumed a round trip efficiency of 100%.</w:t>
      </w:r>
    </w:p>
    <w:p>
      <w:pPr>
        <w:numPr>
          <w:ilvl w:val="0"/>
          <w:numId w:val="1004"/>
        </w:numPr>
      </w:pPr>
      <w:r>
        <w:t xml:space="preserve">For any half-hour period where NEM demand cannot be met by</w:t>
      </w:r>
      <w:r>
        <w:t xml:space="preserve"> </w:t>
      </w:r>
      <w:r>
        <w:t xml:space="preserve">solar/wind:</w:t>
      </w:r>
    </w:p>
    <w:p>
      <w:pPr>
        <w:numPr>
          <w:ilvl w:val="0"/>
          <w:numId w:val="1005"/>
        </w:numPr>
      </w:pPr>
      <w:r>
        <w:t xml:space="preserve">In the months September through February, draw energy from storage</w:t>
      </w:r>
      <w:r>
        <w:t xml:space="preserve"> </w:t>
      </w:r>
      <w:r>
        <w:t xml:space="preserve">if state of charge (SOC) greater than 80% capacity. Discharge as</w:t>
      </w:r>
      <w:r>
        <w:t xml:space="preserve"> </w:t>
      </w:r>
      <w:r>
        <w:t xml:space="preserve">required until capacity &lt; 10%. Figure 8 shows the impact of</w:t>
      </w:r>
      <w:r>
        <w:t xml:space="preserve"> </w:t>
      </w:r>
      <w:r>
        <w:t xml:space="preserve">dispatching battery first in the summer months.</w:t>
      </w:r>
    </w:p>
    <w:p>
      <w:pPr>
        <w:numPr>
          <w:ilvl w:val="0"/>
          <w:numId w:val="1005"/>
        </w:numPr>
      </w:pPr>
      <w:r>
        <w:t xml:space="preserve">Dispatch Hydro. We’ve assumed 7.5 GW and capacity of 14 TWh that can</w:t>
      </w:r>
      <w:r>
        <w:t xml:space="preserve"> </w:t>
      </w:r>
      <w:r>
        <w:t xml:space="preserve">be drawn down at a cost of $5 / MWh.</w:t>
      </w:r>
    </w:p>
    <w:p>
      <w:pPr>
        <w:numPr>
          <w:ilvl w:val="0"/>
          <w:numId w:val="1005"/>
        </w:numPr>
      </w:pPr>
      <w:r>
        <w:t xml:space="preserve">Dispatch open cycle gas. We increase modelled gas capacity to ensure</w:t>
      </w:r>
      <w:r>
        <w:t xml:space="preserve"> </w:t>
      </w:r>
      <w:r>
        <w:t xml:space="preserve">that demand is met in every period.</w:t>
      </w:r>
    </w:p>
    <w:p>
      <w:pPr>
        <w:numPr>
          <w:ilvl w:val="0"/>
          <w:numId w:val="1005"/>
        </w:numPr>
      </w:pPr>
      <w:r>
        <w:t xml:space="preserve">Dispatch storage, if not already dispatched in step 1, above. March</w:t>
      </w:r>
      <w:r>
        <w:t xml:space="preserve"> </w:t>
      </w:r>
      <w:r>
        <w:t xml:space="preserve">through August we save storage until last in the dispatch order to</w:t>
      </w:r>
      <w:r>
        <w:t xml:space="preserve"> </w:t>
      </w:r>
      <w:r>
        <w:t xml:space="preserve">firm hydro/gas in the case of renewable energy</w:t>
      </w:r>
      <w:r>
        <w:t xml:space="preserve"> </w:t>
      </w:r>
      <w:r>
        <w:t xml:space="preserve">“droughts”</w:t>
      </w:r>
      <w:r>
        <w:t xml:space="preserve">. This</w:t>
      </w:r>
      <w:r>
        <w:t xml:space="preserve"> </w:t>
      </w:r>
      <w:r>
        <w:t xml:space="preserve">ensures that battery capacity isn’t low when the NEM experiences</w:t>
      </w:r>
      <w:r>
        <w:t xml:space="preserve"> </w:t>
      </w:r>
      <w:r>
        <w:t xml:space="preserve">long</w:t>
      </w:r>
      <w:r>
        <w:t xml:space="preserve"> </w:t>
      </w:r>
      <w:r>
        <w:t xml:space="preserve">“negative runs”</w:t>
      </w:r>
      <w:r>
        <w:t xml:space="preserve"> </w:t>
      </w:r>
      <w:r>
        <w:t xml:space="preserve">where demand exceeds VRE generation. Storage</w:t>
      </w:r>
      <w:r>
        <w:t xml:space="preserve"> </w:t>
      </w:r>
      <w:r>
        <w:t xml:space="preserve">capacity is set to 4 hours at 15.4 GW</w:t>
      </w:r>
      <w:r>
        <w:rPr>
          <w:rStyle w:val="FootnoteReference"/>
        </w:rPr>
        <w:footnoteReference w:id="49"/>
      </w:r>
      <w:r>
        <w:t xml:space="preserve">. Further optimization of</w:t>
      </w:r>
      <w:r>
        <w:t xml:space="preserve"> </w:t>
      </w:r>
      <w:r>
        <w:t xml:space="preserve">storage capacity is planned in future analysis work.</w:t>
      </w:r>
    </w:p>
    <w:tbl>
      <w:tblPr>
        <w:tblStyle w:val="Table"/>
        <w:tblW w:type="pct" w:w="4867"/>
        <w:tblLayout w:type="fixed"/>
        <w:tblLook w:firstRow="1" w:lastRow="0" w:firstColumn="0" w:lastColumn="0" w:noHBand="0" w:noVBand="0" w:val="0020"/>
      </w:tblPr>
      <w:tblGrid>
        <w:gridCol w:w="3696"/>
        <w:gridCol w:w="1900"/>
        <w:gridCol w:w="21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Battery dispatch 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in Summer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 Energy Supplied (TWh)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6.647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 Energy Supplied (TWh)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Storage spends full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 Fuel Cost (millions p.a.)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$ 665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$ 400</w:t>
            </w:r>
          </w:p>
        </w:tc>
      </w:tr>
    </w:tbl>
    <w:p>
      <w:pPr>
        <w:pStyle w:val="BodyText"/>
      </w:pPr>
      <w:r>
        <w:t xml:space="preserve">Figure 8 – Effect of Firming Dispatch Order on Storage Supply and Gas</w:t>
      </w:r>
      <w:r>
        <w:t xml:space="preserve"> </w:t>
      </w:r>
      <w:r>
        <w:t xml:space="preserve">Fuel Costs</w:t>
      </w:r>
    </w:p>
    <w:bookmarkEnd w:id="50"/>
    <w:bookmarkStart w:id="51" w:name="sensitivity-analysis"/>
    <w:p>
      <w:pPr>
        <w:pStyle w:val="Heading1"/>
      </w:pPr>
      <w:r>
        <w:t xml:space="preserve">Sensitivity Analysis</w:t>
      </w:r>
    </w:p>
    <w:p>
      <w:pPr>
        <w:pStyle w:val="FirstParagraph"/>
      </w:pPr>
      <w:r>
        <w:t xml:space="preserve">After modelling the above system, we conducted a sensitivity analysis to</w:t>
      </w:r>
      <w:r>
        <w:t xml:space="preserve"> </w:t>
      </w:r>
      <w:r>
        <w:t xml:space="preserve">examine the impact of varying the VRE portfolio capacity and the</w:t>
      </w:r>
      <w:r>
        <w:t xml:space="preserve"> </w:t>
      </w:r>
      <w:r>
        <w:t xml:space="preserve">percentage of solar in the portfolio on both the capital cost and the</w:t>
      </w:r>
      <w:r>
        <w:t xml:space="preserve"> </w:t>
      </w:r>
      <w:r>
        <w:t xml:space="preserve">combined (capital + fuel) costs over 5, 10, 15, and 30 years. Note, as</w:t>
      </w:r>
      <w:r>
        <w:t xml:space="preserve"> </w:t>
      </w:r>
      <w:r>
        <w:t xml:space="preserve">this is a sensitivity analysis rather than a detailed costing exercise,</w:t>
      </w:r>
      <w:r>
        <w:t xml:space="preserve"> </w:t>
      </w:r>
      <w:r>
        <w:t xml:space="preserve">2025 fuel costs were simply extrapolated out over the specified time</w:t>
      </w:r>
      <w:r>
        <w:t xml:space="preserve"> </w:t>
      </w:r>
      <w:r>
        <w:t xml:space="preserve">periods rather than adjusting annual fuel costs in line with demand.</w:t>
      </w:r>
      <w:r>
        <w:t xml:space="preserve"> </w:t>
      </w:r>
      <w:r>
        <w:t xml:space="preserve">Future iterations of this work will model more accurate combined costs.</w:t>
      </w:r>
    </w:p>
    <w:p>
      <w:pPr>
        <w:pStyle w:val="BodyText"/>
      </w:pPr>
      <w:r>
        <w:t xml:space="preserve">We assumed the following prices when calculating the capital and</w:t>
      </w:r>
      <w:r>
        <w:t xml:space="preserve"> </w:t>
      </w:r>
      <w:r>
        <w:t xml:space="preserve">long-term costs of our system.</w:t>
      </w:r>
    </w:p>
    <w:tbl>
      <w:tblPr>
        <w:tblStyle w:val="Table"/>
        <w:tblW w:type="pct" w:w="4865"/>
        <w:tblLayout w:type="fixed"/>
        <w:tblLook w:firstRow="1" w:lastRow="0" w:firstColumn="0" w:lastColumn="0" w:noHBand="0" w:noVBand="0" w:val="0020"/>
      </w:tblPr>
      <w:tblGrid>
        <w:gridCol w:w="3745"/>
        <w:gridCol w:w="2461"/>
        <w:gridCol w:w="149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Solar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Wind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$ 2,500,000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$ 600,000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 Dispatch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Hydro Dispatch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/MWh</w:t>
            </w:r>
          </w:p>
        </w:tc>
      </w:tr>
    </w:tbl>
    <w:p>
      <w:pPr>
        <w:pStyle w:val="BodyText"/>
      </w:pPr>
      <w:r>
        <w:t xml:space="preserve">Figure 9 – Assumed Capital and Consumption Costs</w:t>
      </w:r>
    </w:p>
    <w:bookmarkEnd w:id="51"/>
    <w:bookmarkStart w:id="58" w:name="vre-portfolio-capacity"/>
    <w:p>
      <w:pPr>
        <w:pStyle w:val="Heading1"/>
      </w:pPr>
      <w:r>
        <w:t xml:space="preserve">VRE Portfolio Capacity</w:t>
      </w:r>
    </w:p>
    <w:p>
      <w:pPr>
        <w:pStyle w:val="FirstParagraph"/>
      </w:pPr>
      <w:r>
        <w:t xml:space="preserve">NEM OPSO demand in the 2025 calendar year was 181 TWh. The VRE portfolio</w:t>
      </w:r>
      <w:r>
        <w:t xml:space="preserve"> </w:t>
      </w:r>
      <w:r>
        <w:t xml:space="preserve">was scaled such that generation would meet a certain percentage of this</w:t>
      </w:r>
      <w:r>
        <w:t xml:space="preserve"> </w:t>
      </w:r>
      <w:r>
        <w:t xml:space="preserve">demand (i.e., 100% indicates that the VRE portfolio generates 181 TWh</w:t>
      </w:r>
      <w:r>
        <w:t xml:space="preserve"> </w:t>
      </w:r>
      <w:r>
        <w:t xml:space="preserve">during the 2025 calendar year). In the case of the Sharpe-ratio</w:t>
      </w:r>
      <w:r>
        <w:t xml:space="preserve"> </w:t>
      </w:r>
      <w:r>
        <w:t xml:space="preserve">optimized portfolio, VRE capacity of 56 GW was required to generate 181</w:t>
      </w:r>
      <w:r>
        <w:t xml:space="preserve"> </w:t>
      </w:r>
      <w:r>
        <w:t xml:space="preserve">TWh (20.7 GW average) over the 2025 calendar year. Generally, as the VRE</w:t>
      </w:r>
      <w:r>
        <w:t xml:space="preserve"> </w:t>
      </w:r>
      <w:r>
        <w:t xml:space="preserve">portfolio capacity increases, less firming capacity is required,</w:t>
      </w:r>
      <w:r>
        <w:t xml:space="preserve"> </w:t>
      </w:r>
      <w:r>
        <w:t xml:space="preserve">reducing fuel costs but increasing capital costs (1GW of wind farms cost</w:t>
      </w:r>
      <w:r>
        <w:t xml:space="preserve"> </w:t>
      </w:r>
      <w:r>
        <w:t xml:space="preserve">more than 1GW of gas plants). See Figure 10. However, the ratio appears</w:t>
      </w:r>
      <w:r>
        <w:t xml:space="preserve"> </w:t>
      </w:r>
      <w:r>
        <w:t xml:space="preserve">optimized when VRE is set to generate around 100% - 110% of NEM OPSO</w:t>
      </w:r>
      <w:r>
        <w:t xml:space="preserve"> </w:t>
      </w:r>
      <w:r>
        <w:t xml:space="preserve">demand, i.e., at a certain point the additional fuel costs become</w:t>
      </w:r>
      <w:r>
        <w:t xml:space="preserve"> </w:t>
      </w:r>
      <w:r>
        <w:t xml:space="preserve">negligible compared to the increased capital cost of more VRE. See</w:t>
      </w:r>
      <w:r>
        <w:t xml:space="preserve"> </w:t>
      </w:r>
      <w:r>
        <w:t xml:space="preserve">Figure 11.</w:t>
      </w:r>
    </w:p>
    <w:p>
      <w:pPr>
        <w:pStyle w:val="BodyText"/>
      </w:pPr>
      <w:r>
        <w:t xml:space="preserve">A contributor is hydro capacity. With lower VRE capacity, the hydro</w:t>
      </w:r>
      <w:r>
        <w:t xml:space="preserve"> </w:t>
      </w:r>
      <w:r>
        <w:t xml:space="preserve">capacity (14TWh) is exhausted at some point during the reference year;</w:t>
      </w:r>
      <w:r>
        <w:t xml:space="preserve"> </w:t>
      </w:r>
      <w:r>
        <w:t xml:space="preserve">the lower the VRE capacity, the earlier hydro runs out. At 100% VRE :</w:t>
      </w:r>
      <w:r>
        <w:t xml:space="preserve"> </w:t>
      </w:r>
      <w:r>
        <w:t xml:space="preserve">NEM, hydro runs out on the 5</w:t>
      </w:r>
      <w:r>
        <w:rPr>
          <w:vertAlign w:val="superscript"/>
        </w:rPr>
        <w:t xml:space="preserve">th</w:t>
      </w:r>
      <w:r>
        <w:t xml:space="preserve"> </w:t>
      </w:r>
      <w:r>
        <w:t xml:space="preserve">of December, after we’ve ridden out the</w:t>
      </w:r>
      <w:r>
        <w:t xml:space="preserve"> </w:t>
      </w:r>
      <w:r>
        <w:t xml:space="preserve">high-demand/low-solar of winter; gas and storage pick up the slack for</w:t>
      </w:r>
      <w:r>
        <w:t xml:space="preserve"> </w:t>
      </w:r>
      <w:r>
        <w:t xml:space="preserve">the remainder of December. See Figure 16. At 110% VER : NEM we end the</w:t>
      </w:r>
      <w:r>
        <w:t xml:space="preserve"> </w:t>
      </w:r>
      <w:r>
        <w:t xml:space="preserve">year with some hydro capacity remaining (3.4TWh). Further increasing the</w:t>
      </w:r>
      <w:r>
        <w:t xml:space="preserve"> </w:t>
      </w:r>
      <w:r>
        <w:t xml:space="preserve">VRE portfolio beyond the 110% ratio essentially</w:t>
      </w:r>
      <w:r>
        <w:t xml:space="preserve"> </w:t>
      </w:r>
      <w:r>
        <w:t xml:space="preserve">“wastes”</w:t>
      </w:r>
      <w:r>
        <w:t xml:space="preserve"> </w:t>
      </w:r>
      <w:r>
        <w:t xml:space="preserve">the cheap hydro</w:t>
      </w:r>
      <w:r>
        <w:t xml:space="preserve"> </w:t>
      </w:r>
      <w:r>
        <w:t xml:space="preserve">capacity in the eyes of the model/system.</w:t>
      </w:r>
    </w:p>
    <w:p>
      <w:pPr>
        <w:pStyle w:val="CaptionedFigure"/>
      </w:pPr>
      <w:r>
        <w:drawing>
          <wp:inline>
            <wp:extent cx="5292090" cy="3511550"/>
            <wp:effectExtent b="0" l="0" r="0" t="0"/>
            <wp:docPr descr="A graph of different colored lines Description automatically generated" title="" id="53" name="Picture"/>
            <a:graphic>
              <a:graphicData uri="http://schemas.openxmlformats.org/drawingml/2006/picture">
                <pic:pic>
                  <pic:nvPicPr>
                    <pic:cNvPr descr="media/media/image1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different colored lines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10 – VRE Portfolio Capacity: Sensitivity Analysis</w:t>
      </w:r>
    </w:p>
    <w:p>
      <w:pPr>
        <w:pStyle w:val="CaptionedFigure"/>
      </w:pPr>
      <w:r>
        <w:drawing>
          <wp:inline>
            <wp:extent cx="4578350" cy="2755900"/>
            <wp:effectExtent b="0" l="0" r="0" t="0"/>
            <wp:docPr descr="A graph of cost of fuel and gas prices Description automatically generated" title="" id="56" name="Picture"/>
            <a:graphic>
              <a:graphicData uri="http://schemas.openxmlformats.org/drawingml/2006/picture">
                <pic:pic>
                  <pic:nvPicPr>
                    <pic:cNvPr descr="media/media/image1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cost of fuel and gas prices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11 – 5-year Cost of Hydro and Fuel for Gas Gen (Billions)</w:t>
      </w:r>
    </w:p>
    <w:bookmarkEnd w:id="58"/>
    <w:bookmarkStart w:id="65" w:name="wind-to-solar-ratio"/>
    <w:p>
      <w:pPr>
        <w:pStyle w:val="Heading1"/>
      </w:pPr>
      <w:r>
        <w:t xml:space="preserve">Wind to Solar Ratio</w:t>
      </w:r>
    </w:p>
    <w:p>
      <w:pPr>
        <w:pStyle w:val="FirstParagraph"/>
      </w:pPr>
      <w:r>
        <w:t xml:space="preserve">The total output of each modelled portfolio was set to NEM OPSO demand +</w:t>
      </w:r>
      <w:r>
        <w:t xml:space="preserve"> </w:t>
      </w:r>
      <w:r>
        <w:t xml:space="preserve">10% for the wind to solar ratio sensitivity analysis. The system was</w:t>
      </w:r>
      <w:r>
        <w:t xml:space="preserve"> </w:t>
      </w:r>
      <w:r>
        <w:t xml:space="preserve">modelled with 0%, 23.3%, 50%, 75%, and 100% solar. This was done by</w:t>
      </w:r>
      <w:r>
        <w:t xml:space="preserve"> </w:t>
      </w:r>
      <w:r>
        <w:t xml:space="preserve">scaling the solar and wind portions of the Sharpe-ratio optimized</w:t>
      </w:r>
      <w:r>
        <w:t xml:space="preserve"> </w:t>
      </w:r>
      <w:r>
        <w:t xml:space="preserve">portfolio accordingly. Notably, the Sharpe-Optimized portfolio (i.e.,</w:t>
      </w:r>
      <w:r>
        <w:t xml:space="preserve"> </w:t>
      </w:r>
      <w:r>
        <w:t xml:space="preserve">23.3% solar) exhibited the lowest cost over any period greater than 5</w:t>
      </w:r>
      <w:r>
        <w:t xml:space="preserve"> </w:t>
      </w:r>
      <w:r>
        <w:t xml:space="preserve">years. The effects of increasing solar were:</w:t>
      </w:r>
    </w:p>
    <w:p>
      <w:pPr>
        <w:numPr>
          <w:ilvl w:val="0"/>
          <w:numId w:val="1006"/>
        </w:numPr>
      </w:pPr>
      <w:r>
        <w:t xml:space="preserve">Slightly reduced capital. Capital reduction tempered by the fact</w:t>
      </w:r>
      <w:r>
        <w:t xml:space="preserve"> </w:t>
      </w:r>
      <w:r>
        <w:t xml:space="preserve">that solar has lower capacity factors, so the required portfolio</w:t>
      </w:r>
      <w:r>
        <w:t xml:space="preserve"> </w:t>
      </w:r>
      <w:r>
        <w:t xml:space="preserve">capacity to meet demand increases with increasing solar % of</w:t>
      </w:r>
      <w:r>
        <w:t xml:space="preserve"> </w:t>
      </w:r>
      <w:r>
        <w:t xml:space="preserve">portfolio.</w:t>
      </w:r>
    </w:p>
    <w:p>
      <w:pPr>
        <w:numPr>
          <w:ilvl w:val="0"/>
          <w:numId w:val="1006"/>
        </w:numPr>
      </w:pPr>
      <w:r>
        <w:t xml:space="preserve">Increased reliance on hydro/gas/storage to supply power during</w:t>
      </w:r>
      <w:r>
        <w:t xml:space="preserve"> </w:t>
      </w:r>
      <w:r>
        <w:t xml:space="preserve">significant shortfall overnight and decreased daylight hours in</w:t>
      </w:r>
      <w:r>
        <w:t xml:space="preserve"> </w:t>
      </w:r>
      <w:r>
        <w:t xml:space="preserve">winter, and therefore:</w:t>
      </w:r>
    </w:p>
    <w:p>
      <w:pPr>
        <w:numPr>
          <w:ilvl w:val="0"/>
          <w:numId w:val="1006"/>
        </w:numPr>
      </w:pPr>
      <w:r>
        <w:t xml:space="preserve">Significantly higher gas demand and long-term fuel costs.</w:t>
      </w:r>
    </w:p>
    <w:p>
      <w:pPr>
        <w:pStyle w:val="CaptionedFigure"/>
      </w:pPr>
      <w:r>
        <w:drawing>
          <wp:inline>
            <wp:extent cx="5080000" cy="3405797"/>
            <wp:effectExtent b="0" l="0" r="0" t="0"/>
            <wp:docPr descr="A graph of different colored lines Description automatically generated" title="" id="60" name="Picture"/>
            <a:graphic>
              <a:graphicData uri="http://schemas.openxmlformats.org/drawingml/2006/picture">
                <pic:pic>
                  <pic:nvPicPr>
                    <pic:cNvPr descr="media/media/image1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05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different colored lines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12 – Solar % of VRE Portfolio: Sensitivity Analysis</w:t>
      </w:r>
    </w:p>
    <w:p>
      <w:pPr>
        <w:pStyle w:val="CaptionedFigure"/>
      </w:pPr>
      <w:r>
        <w:drawing>
          <wp:inline>
            <wp:extent cx="4360334" cy="2674275"/>
            <wp:effectExtent b="0" l="0" r="0" t="0"/>
            <wp:docPr descr="A graph of gas required Description automatically generated" title="" id="63" name="Picture"/>
            <a:graphic>
              <a:graphicData uri="http://schemas.openxmlformats.org/drawingml/2006/picture">
                <pic:pic>
                  <pic:nvPicPr>
                    <pic:cNvPr descr="media/media/image1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334" cy="2674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gas required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13 – Open Cycle Gas Capacity Required with Increasing Solar % of</w:t>
      </w:r>
      <w:r>
        <w:t xml:space="preserve"> </w:t>
      </w:r>
      <w:r>
        <w:t xml:space="preserve">VRE Portfolio</w:t>
      </w:r>
    </w:p>
    <w:bookmarkEnd w:id="65"/>
    <w:bookmarkStart w:id="78" w:name="optimized-system"/>
    <w:p>
      <w:pPr>
        <w:pStyle w:val="Heading1"/>
      </w:pPr>
      <w:r>
        <w:t xml:space="preserve">Optimized System</w:t>
      </w:r>
    </w:p>
    <w:p>
      <w:pPr>
        <w:pStyle w:val="FirstParagraph"/>
      </w:pPr>
      <w:r>
        <w:t xml:space="preserve">Based on the sensitivity analysis, a system with VRE portfolio scaled to</w:t>
      </w:r>
      <w:r>
        <w:t xml:space="preserve"> </w:t>
      </w:r>
      <w:r>
        <w:t xml:space="preserve">meet 100% NEM OPSO demand over the 2025 calendar year was selected for</w:t>
      </w:r>
      <w:r>
        <w:t xml:space="preserve"> </w:t>
      </w:r>
      <w:r>
        <w:t xml:space="preserve">further analysis. Due to Hydro running out in December in this scenario,</w:t>
      </w:r>
      <w:r>
        <w:t xml:space="preserve"> </w:t>
      </w:r>
      <w:r>
        <w:t xml:space="preserve">the December dispatch order was varied, leaving storage until last (same</w:t>
      </w:r>
      <w:r>
        <w:t xml:space="preserve"> </w:t>
      </w:r>
      <w:r>
        <w:t xml:space="preserve">as March-August). This ensured sufficient capacity for handling longer</w:t>
      </w:r>
      <w:r>
        <w:t xml:space="preserve"> </w:t>
      </w:r>
      <w:r>
        <w:t xml:space="preserve">negative runs in December, minimizing the gas power requirements in</w:t>
      </w:r>
      <w:r>
        <w:t xml:space="preserve"> </w:t>
      </w:r>
      <w:r>
        <w:t xml:space="preserve">those instances.</w:t>
      </w:r>
    </w:p>
    <w:p>
      <w:pPr>
        <w:pStyle w:val="BodyText"/>
      </w:pPr>
      <w:r>
        <w:t xml:space="preserve">Figure 14 summarizes the properties and performance of the optimized</w:t>
      </w:r>
      <w:r>
        <w:t xml:space="preserve"> </w:t>
      </w:r>
      <w:r>
        <w:t xml:space="preserve">system over the 2025 calendar year. We have a 56 GW capacity VRE</w:t>
      </w:r>
      <w:r>
        <w:t xml:space="preserve"> </w:t>
      </w:r>
      <w:r>
        <w:t xml:space="preserve">portfolio with a capital cost of $123 billion. Capital cost of firming</w:t>
      </w:r>
      <w:r>
        <w:t xml:space="preserve"> </w:t>
      </w:r>
      <w:r>
        <w:t xml:space="preserve">capacity required to support this VRE portfolio is $46 billion (hydro</w:t>
      </w:r>
      <w:r>
        <w:t xml:space="preserve"> </w:t>
      </w:r>
      <w:r>
        <w:t xml:space="preserve">excluded). As discussed in the sensitivity analysis, there were systems</w:t>
      </w:r>
      <w:r>
        <w:t xml:space="preserve"> </w:t>
      </w:r>
      <w:r>
        <w:t xml:space="preserve">available with lower upfront cost, but once fuel costs were incorporated</w:t>
      </w:r>
      <w:r>
        <w:t xml:space="preserve"> </w:t>
      </w:r>
      <w:r>
        <w:t xml:space="preserve">over 10+ years, this system was the cheapest.</w:t>
      </w:r>
    </w:p>
    <w:p>
      <w:pPr>
        <w:pStyle w:val="CaptionedFigure"/>
      </w:pPr>
      <w:r>
        <w:drawing>
          <wp:inline>
            <wp:extent cx="5334000" cy="2784729"/>
            <wp:effectExtent b="0" l="0" r="0" t="0"/>
            <wp:docPr descr="A screenshot of a computer Description automatically generated" title="" id="67" name="Picture"/>
            <a:graphic>
              <a:graphicData uri="http://schemas.openxmlformats.org/drawingml/2006/picture">
                <pic:pic>
                  <pic:nvPicPr>
                    <pic:cNvPr descr="media/media/image1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84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screenshot of a computer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14 – Summary of Optimized System (Costs, Capacities, Energy</w:t>
      </w:r>
      <w:r>
        <w:t xml:space="preserve"> </w:t>
      </w:r>
      <w:r>
        <w:t xml:space="preserve">Supplied)</w:t>
      </w:r>
    </w:p>
    <w:p>
      <w:pPr>
        <w:pStyle w:val="BodyText"/>
      </w:pPr>
      <w:r>
        <w:t xml:space="preserve">Figure 15 illustrates the energy supply for a 2025 average day, with</w:t>
      </w:r>
      <w:r>
        <w:t xml:space="preserve"> </w:t>
      </w:r>
      <w:r>
        <w:t xml:space="preserve">firming capacity generally kicking in for the evening peak demand period</w:t>
      </w:r>
      <w:r>
        <w:t xml:space="preserve"> </w:t>
      </w:r>
      <w:r>
        <w:t xml:space="preserve">and then (mostly hydro) continuing to supply overnight while solar is at</w:t>
      </w:r>
      <w:r>
        <w:t xml:space="preserve"> </w:t>
      </w:r>
      <w:r>
        <w:t xml:space="preserve">zero. All pretty stock standard. Figure 16 and Figure 17 illustrate the</w:t>
      </w:r>
      <w:r>
        <w:t xml:space="preserve"> </w:t>
      </w:r>
      <w:r>
        <w:t xml:space="preserve">supply seasonality. Hydro supply is highest March through August, when</w:t>
      </w:r>
      <w:r>
        <w:t xml:space="preserve"> </w:t>
      </w:r>
      <w:r>
        <w:t xml:space="preserve">hydro is first (and storage last) in the firming dispatch order. Storage</w:t>
      </w:r>
      <w:r>
        <w:t xml:space="preserve"> </w:t>
      </w:r>
      <w:r>
        <w:t xml:space="preserve">is highest in the months where it is at the front of the firming</w:t>
      </w:r>
      <w:r>
        <w:t xml:space="preserve"> </w:t>
      </w:r>
      <w:r>
        <w:t xml:space="preserve">dispatch order.</w:t>
      </w:r>
    </w:p>
    <w:p>
      <w:pPr>
        <w:pStyle w:val="CaptionedFigure"/>
      </w:pPr>
      <w:r>
        <w:drawing>
          <wp:inline>
            <wp:extent cx="5334000" cy="3758259"/>
            <wp:effectExtent b="0" l="0" r="0" t="0"/>
            <wp:docPr descr="A graph of a diagram Description automatically generated with medium confidence" title="" id="70" name="Picture"/>
            <a:graphic>
              <a:graphicData uri="http://schemas.openxmlformats.org/drawingml/2006/picture">
                <pic:pic>
                  <pic:nvPicPr>
                    <pic:cNvPr descr="media/media/image16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58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diagram Description automatically generated with medium</w:t>
      </w:r>
      <w:r>
        <w:t xml:space="preserve"> </w:t>
      </w:r>
      <w:r>
        <w:t xml:space="preserve">confidence</w:t>
      </w:r>
    </w:p>
    <w:p>
      <w:pPr>
        <w:pStyle w:val="BodyText"/>
      </w:pPr>
      <w:r>
        <w:t xml:space="preserve">Figure 15 – "Optimized" System, Average Day Supply by Source - 2025</w:t>
      </w:r>
    </w:p>
    <w:p>
      <w:pPr>
        <w:pStyle w:val="CaptionedFigure"/>
      </w:pPr>
      <w:r>
        <w:drawing>
          <wp:inline>
            <wp:extent cx="4274820" cy="4089214"/>
            <wp:effectExtent b="0" l="0" r="0" t="0"/>
            <wp:docPr descr="A graph of a supply line Description automatically generated with medium confidence" title="" id="73" name="Picture"/>
            <a:graphic>
              <a:graphicData uri="http://schemas.openxmlformats.org/drawingml/2006/picture">
                <pic:pic>
                  <pic:nvPicPr>
                    <pic:cNvPr descr="media/media/image1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089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supply line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Figure 16 – "Optimized" System, Total Monthly Supply by Source - 2025</w:t>
      </w:r>
    </w:p>
    <w:p>
      <w:pPr>
        <w:pStyle w:val="CaptionedFigure"/>
      </w:pPr>
      <w:r>
        <w:drawing>
          <wp:inline>
            <wp:extent cx="5334000" cy="3806520"/>
            <wp:effectExtent b="0" l="0" r="0" t="0"/>
            <wp:docPr descr="A screenshot of a graph Description automatically generated" title="" id="76" name="Picture"/>
            <a:graphic>
              <a:graphicData uri="http://schemas.openxmlformats.org/drawingml/2006/picture">
                <pic:pic>
                  <pic:nvPicPr>
                    <pic:cNvPr descr="media/media/image18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6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screenshot of a graph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17 – "Optimized" System, Average Day Supply for Calendar Year</w:t>
      </w:r>
      <w:r>
        <w:t xml:space="preserve"> </w:t>
      </w:r>
      <w:r>
        <w:t xml:space="preserve">2025 by Quarter</w:t>
      </w:r>
    </w:p>
    <w:bookmarkEnd w:id="78"/>
    <w:bookmarkStart w:id="79" w:name="key-assumptions-limitations"/>
    <w:p>
      <w:pPr>
        <w:pStyle w:val="Heading1"/>
      </w:pPr>
      <w:r>
        <w:t xml:space="preserve">Key Assumptions / Limitations</w:t>
      </w:r>
    </w:p>
    <w:p>
      <w:pPr>
        <w:numPr>
          <w:ilvl w:val="0"/>
          <w:numId w:val="1007"/>
        </w:numPr>
      </w:pPr>
      <w:r>
        <w:t xml:space="preserve">2022 ISP demand, solar, wind trace data is used. Future iterations</w:t>
      </w:r>
      <w:r>
        <w:t xml:space="preserve"> </w:t>
      </w:r>
      <w:r>
        <w:t xml:space="preserve">of this work will update all underlying data to reflect changes in</w:t>
      </w:r>
      <w:r>
        <w:t xml:space="preserve"> </w:t>
      </w:r>
      <w:r>
        <w:t xml:space="preserve">the 2024 Draft ISP.</w:t>
      </w:r>
    </w:p>
    <w:p>
      <w:pPr>
        <w:numPr>
          <w:ilvl w:val="0"/>
          <w:numId w:val="1007"/>
        </w:numPr>
      </w:pPr>
      <w:r>
        <w:t xml:space="preserve">Transmission costs and losses need to be incorporated in a future</w:t>
      </w:r>
      <w:r>
        <w:t xml:space="preserve"> </w:t>
      </w:r>
      <w:r>
        <w:t xml:space="preserve">iteration of this work. We understand that this will prove a pivotal</w:t>
      </w:r>
      <w:r>
        <w:t xml:space="preserve"> </w:t>
      </w:r>
      <w:r>
        <w:t xml:space="preserve">piece in portfolio optimization, particularly given the (potentially</w:t>
      </w:r>
      <w:r>
        <w:t xml:space="preserve"> </w:t>
      </w:r>
      <w:r>
        <w:t xml:space="preserve">unrealistic) geographical distribution of our hypothetical VRE</w:t>
      </w:r>
      <w:r>
        <w:t xml:space="preserve"> </w:t>
      </w:r>
      <w:r>
        <w:t xml:space="preserve">generation network in relation to the demand centres.</w:t>
      </w:r>
    </w:p>
    <w:p>
      <w:pPr>
        <w:numPr>
          <w:ilvl w:val="0"/>
          <w:numId w:val="1007"/>
        </w:numPr>
      </w:pPr>
      <w:r>
        <w:t xml:space="preserve">Recommend further optimization of firming capacity dispatch order,</w:t>
      </w:r>
      <w:r>
        <w:t xml:space="preserve"> </w:t>
      </w:r>
      <w:r>
        <w:t xml:space="preserve">which is currently relatively static, aside from moving storage up</w:t>
      </w:r>
      <w:r>
        <w:t xml:space="preserve"> </w:t>
      </w:r>
      <w:r>
        <w:t xml:space="preserve">the order during months of increased sunlight. Once a more realistic</w:t>
      </w:r>
      <w:r>
        <w:t xml:space="preserve"> </w:t>
      </w:r>
      <w:r>
        <w:t xml:space="preserve">firming capacity dispatch order algorithm is in place, storage</w:t>
      </w:r>
      <w:r>
        <w:t xml:space="preserve"> </w:t>
      </w:r>
      <w:r>
        <w:t xml:space="preserve">capacity needs to be further optimized.</w:t>
      </w:r>
    </w:p>
    <w:p>
      <w:pPr>
        <w:numPr>
          <w:ilvl w:val="0"/>
          <w:numId w:val="1007"/>
        </w:numPr>
      </w:pPr>
      <w:r>
        <w:t xml:space="preserve">Storage round trip efficiency needs to be incorporated.</w:t>
      </w:r>
    </w:p>
    <w:bookmarkEnd w:id="7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15.4 GW of storage meets 99% of shortfall, post-VRE.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 Ratio capital cost with firming</dc:title>
  <dc:creator>Paul Bandarian, David Leitch</dc:creator>
  <cp:keywords/>
  <dcterms:created xsi:type="dcterms:W3CDTF">2026-02-01T05:37:15Z</dcterms:created>
  <dcterms:modified xsi:type="dcterms:W3CDTF">2026-02-01T05:37:15Z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2024-02-08</vt:lpwstr>
  </property>
  <property fmtid="{D5CDD505-2E9C-101B-9397-08002B2CF9AE}" pid="7" name="draft">
    <vt:lpwstr>False</vt:lpwstr>
  </property>
  <property fmtid="{D5CDD505-2E9C-101B-9397-08002B2CF9AE}" pid="8" name="header-includes">
    <vt:lpwstr/>
  </property>
  <property fmtid="{D5CDD505-2E9C-101B-9397-08002B2CF9AE}" pid="9" name="image">
    <vt:lpwstr>media/media/image9.png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bl-cap-location">
    <vt:lpwstr>bottom</vt:lpwstr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