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Changes to accommodate data centres and AI analysis</w:t>
      </w:r>
    </w:p>
    <w:p>
      <w:pPr>
        <w:pStyle w:val="Author"/>
      </w:pPr>
      <w:r>
        <w:t xml:space="preserve">David Leitch</w:t>
      </w:r>
    </w:p>
    <w:p>
      <w:pPr>
        <w:pStyle w:val="Date"/>
      </w:pPr>
      <w:r>
        <w:t xml:space="preserve">2026-08-10</w:t>
      </w:r>
    </w:p>
    <w:p>
      <w:pPr>
        <w:pStyle w:val="FirstParagraph"/>
      </w:pPr>
      <w:r>
        <w:t xml:space="preserve">At least for a while I’ve expanded my research analysis to include articles about AI economics and finance as well as data centres. These now have their own home on itkservices3.com under</w:t>
      </w:r>
      <w:r>
        <w:t xml:space="preserve"> </w:t>
      </w:r>
      <w:r>
        <w:t xml:space="preserve">“AI economics”</w:t>
      </w:r>
      <w:r>
        <w:t xml:space="preserve">, and their own email list.</w:t>
      </w:r>
      <w:r>
        <w:t xml:space="preserve"> </w:t>
      </w:r>
      <w:r>
        <w:rPr>
          <w:b/>
          <w:bCs/>
        </w:rPr>
        <w:t xml:space="preserve">If you want them,</w:t>
      </w:r>
      <w:r>
        <w:rPr>
          <w:b/>
          <w:bCs/>
        </w:rPr>
        <w:t xml:space="preserve"> </w:t>
      </w:r>
      <w:hyperlink r:id="rId20">
        <w:r>
          <w:rPr>
            <w:rStyle w:val="Hyperlink"/>
            <w:b/>
            <w:bCs/>
          </w:rPr>
          <w:t xml:space="preserve">update your preferences</w:t>
        </w:r>
      </w:hyperlink>
      <w:r>
        <w:rPr>
          <w:b/>
          <w:bCs/>
        </w:rPr>
        <w:t xml:space="preserve"> </w:t>
      </w:r>
      <w:r>
        <w:rPr>
          <w:b/>
          <w:bCs/>
        </w:rPr>
        <w:t xml:space="preserve">and tick</w:t>
      </w:r>
      <w:r>
        <w:rPr>
          <w:b/>
          <w:bCs/>
        </w:rPr>
        <w:t xml:space="preserve"> </w:t>
      </w:r>
      <w:r>
        <w:rPr>
          <w:b/>
          <w:bCs/>
        </w:rPr>
        <w:t xml:space="preserve">“AI and datacentre economics”</w:t>
      </w:r>
      <w:r>
        <w:t xml:space="preserve"> </w:t>
      </w:r>
      <w:r>
        <w:t xml:space="preserve">— or use the</w:t>
      </w:r>
      <w:r>
        <w:t xml:space="preserve"> </w:t>
      </w:r>
      <w:r>
        <w:rPr>
          <w:i/>
          <w:iCs/>
        </w:rPr>
        <w:t xml:space="preserve">update your preferences</w:t>
      </w:r>
      <w:r>
        <w:t xml:space="preserve"> </w:t>
      </w:r>
      <w:r>
        <w:t xml:space="preserve">link at the foot of this email. If you’d rather not, do nothing: the research articles carry on unchanged.</w:t>
      </w:r>
    </w:p>
    <w:p>
      <w:pPr>
        <w:pStyle w:val="BodyText"/>
      </w:pPr>
      <w:r>
        <w:t xml:space="preserve">The latest</w:t>
      </w:r>
      <w:r>
        <w:t xml:space="preserve"> </w:t>
      </w:r>
      <w:hyperlink r:id="rId21">
        <w:r>
          <w:rPr>
            <w:rStyle w:val="Hyperlink"/>
          </w:rPr>
          <w:t xml:space="preserve">note</w:t>
        </w:r>
      </w:hyperlink>
      <w:r>
        <w:t xml:space="preserve"> </w:t>
      </w:r>
      <w:r>
        <w:t xml:space="preserve">looks at the Colossus lease to see where the leverage lies. This took me down the pathway of understanding what drives AI model improvement. It turns out more MW is a big part of the deal, and of course that has data centre and electricity implications.</w:t>
      </w:r>
    </w:p>
    <w:p>
      <w:pPr>
        <w:pStyle w:val="BodyText"/>
      </w:pPr>
      <w:r>
        <w:t xml:space="preserve">I was going to write more but suffice to say that my primary focus remains very much on decarbonising Australia via decarbonising Australia’s electricity production and then electrifying everything. This year, for very obvious reasons,</w:t>
      </w:r>
      <w:r>
        <w:t xml:space="preserve"> </w:t>
      </w:r>
      <w:r>
        <w:t xml:space="preserve">“electrify everything”</w:t>
      </w:r>
      <w:r>
        <w:t xml:space="preserve"> </w:t>
      </w:r>
      <w:r>
        <w:t xml:space="preserve">resolves into replacing diesel in trucks.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itkservices3.com/mailchimp.html" TargetMode="External" /><Relationship Type="http://schemas.openxmlformats.org/officeDocument/2006/relationships/hyperlink" Id="rId21" Target="https://itkservices3.com/posts-ai/Colossus.html" TargetMode="External" /></Relationships>
</file>

<file path=word/_rels/footnotes.xml.rels><?xml version="1.0" encoding="UTF-8"?><Relationships xmlns="http://schemas.openxmlformats.org/package/2006/relationships"><Relationship Type="http://schemas.openxmlformats.org/officeDocument/2006/relationships/hyperlink" Id="rId20" Target="https://itkservices3.com/mailchimp.html" TargetMode="External" /><Relationship Type="http://schemas.openxmlformats.org/officeDocument/2006/relationships/hyperlink" Id="rId21" Target="https://itkservices3.com/posts-ai/Colossu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accommodate data centres and AI analysis</dc:title>
  <dc:creator>David Leitch</dc:creator>
  <cp:keywords/>
  <dcterms:created xsi:type="dcterms:W3CDTF">2026-08-10T12:34:41Z</dcterms:created>
  <dcterms:modified xsi:type="dcterms:W3CDTF">2026-08-10T12:34:41Z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2026-08-10</vt:lpwstr>
  </property>
  <property fmtid="{D5CDD505-2E9C-101B-9397-08002B2CF9AE}" pid="9" name="draft">
    <vt:lpwstr>False</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lightbox">
    <vt:lpwstr>True</vt:lpwstr>
  </property>
  <property fmtid="{D5CDD505-2E9C-101B-9397-08002B2CF9AE}" pid="15" name="tbl-cap-location">
    <vt:lpwstr>bottom</vt:lpwstr>
  </property>
  <property fmtid="{D5CDD505-2E9C-101B-9397-08002B2CF9AE}" pid="16" name="title-block-banner">
    <vt:lpwstr>True</vt:lpwstr>
  </property>
  <property fmtid="{D5CDD505-2E9C-101B-9397-08002B2CF9AE}" pid="17" name="toc-title">
    <vt:lpwstr>Table of contents</vt:lpwstr>
  </property>
</Properties>
</file>